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关于转发教育部办公厅2019年线下、线上线下混合式、社会实践国家一流本科课程</w:t>
      </w:r>
    </w:p>
    <w:p>
      <w:pPr>
        <w:spacing w:line="580" w:lineRule="exact"/>
        <w:jc w:val="center"/>
        <w:rPr>
          <w:rFonts w:eastAsia="方正小标宋简体"/>
          <w:b/>
          <w:bCs/>
          <w:sz w:val="44"/>
          <w:szCs w:val="44"/>
        </w:rPr>
      </w:pPr>
      <w:r>
        <w:rPr>
          <w:rFonts w:hint="eastAsia" w:asciiTheme="majorEastAsia" w:hAnsiTheme="majorEastAsia" w:eastAsiaTheme="majorEastAsia" w:cstheme="majorEastAsia"/>
          <w:b/>
          <w:bCs/>
          <w:sz w:val="44"/>
          <w:szCs w:val="44"/>
        </w:rPr>
        <w:t>认定工作的通知</w:t>
      </w:r>
    </w:p>
    <w:p>
      <w:pPr>
        <w:spacing w:line="580" w:lineRule="exact"/>
        <w:rPr>
          <w:rFonts w:ascii="仿宋" w:hAnsi="仿宋" w:eastAsia="仿宋"/>
          <w:sz w:val="32"/>
          <w:szCs w:val="32"/>
        </w:rPr>
      </w:pPr>
    </w:p>
    <w:p>
      <w:pPr>
        <w:spacing w:line="580" w:lineRule="exact"/>
        <w:rPr>
          <w:rFonts w:ascii="仿宋" w:hAnsi="仿宋" w:eastAsia="仿宋"/>
          <w:sz w:val="32"/>
          <w:szCs w:val="32"/>
        </w:rPr>
      </w:pPr>
      <w:r>
        <w:rPr>
          <w:rFonts w:hint="eastAsia" w:ascii="仿宋" w:hAnsi="仿宋" w:eastAsia="仿宋"/>
          <w:sz w:val="32"/>
          <w:szCs w:val="32"/>
        </w:rPr>
        <w:t>各学院：</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现将《教育部办公厅关于开展2019年线下、线上线下混合式、社会实践国家级一流本科课程认定工作的通知》（附件1）转发给你们，</w:t>
      </w:r>
      <w:r>
        <w:rPr>
          <w:rFonts w:hint="eastAsia" w:ascii="仿宋" w:hAnsi="仿宋" w:eastAsia="仿宋"/>
          <w:sz w:val="32"/>
          <w:szCs w:val="32"/>
          <w:lang w:eastAsia="zh-CN"/>
        </w:rPr>
        <w:t>请结合</w:t>
      </w:r>
      <w:r>
        <w:rPr>
          <w:rFonts w:hint="eastAsia" w:ascii="仿宋" w:hAnsi="仿宋" w:eastAsia="仿宋"/>
          <w:sz w:val="32"/>
          <w:szCs w:val="32"/>
        </w:rPr>
        <w:t>《教育部关于一流本科课程建设的实施意见》（附件2）</w:t>
      </w:r>
      <w:r>
        <w:rPr>
          <w:rFonts w:hint="eastAsia" w:ascii="仿宋" w:hAnsi="仿宋" w:eastAsia="仿宋"/>
          <w:sz w:val="32"/>
          <w:szCs w:val="32"/>
          <w:lang w:eastAsia="zh-CN"/>
        </w:rPr>
        <w:t>精神，并</w:t>
      </w:r>
      <w:r>
        <w:rPr>
          <w:rFonts w:hint="eastAsia" w:ascii="仿宋" w:hAnsi="仿宋" w:eastAsia="仿宋"/>
          <w:sz w:val="32"/>
          <w:szCs w:val="32"/>
        </w:rPr>
        <w:t>根据以下要求，做好我校2019年线下一流课程、线上线下混合式一流课程和社会实践一流课程申报。</w:t>
      </w:r>
    </w:p>
    <w:p>
      <w:pPr>
        <w:adjustRightInd w:val="0"/>
        <w:snapToGrid w:val="0"/>
        <w:spacing w:line="56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、申报对象</w:t>
      </w:r>
    </w:p>
    <w:p>
      <w:pPr>
        <w:adjustRightInd w:val="0"/>
        <w:snapToGrid w:val="0"/>
        <w:spacing w:line="560" w:lineRule="exact"/>
        <w:ind w:firstLine="640" w:firstLineChars="200"/>
        <w:rPr>
          <w:rFonts w:ascii="仿宋" w:hAnsi="仿宋" w:eastAsia="仿宋"/>
          <w:sz w:val="32"/>
          <w:szCs w:val="32"/>
        </w:rPr>
      </w:pPr>
      <w:r>
        <w:rPr>
          <w:rFonts w:hint="eastAsia" w:ascii="仿宋_GB2312" w:hAnsi="黑体" w:eastAsia="仿宋_GB2312"/>
          <w:sz w:val="32"/>
          <w:szCs w:val="32"/>
        </w:rPr>
        <w:t>（一）</w:t>
      </w:r>
      <w:r>
        <w:rPr>
          <w:rFonts w:hint="eastAsia" w:ascii="仿宋" w:hAnsi="仿宋" w:eastAsia="仿宋"/>
          <w:sz w:val="32"/>
          <w:szCs w:val="32"/>
        </w:rPr>
        <w:t>线上线下混合式一流课程申报对象：</w:t>
      </w:r>
      <w:r>
        <w:rPr>
          <w:rFonts w:hint="eastAsia" w:ascii="仿宋_GB2312" w:hAnsi="黑体" w:eastAsia="仿宋_GB2312"/>
          <w:sz w:val="32"/>
          <w:szCs w:val="32"/>
        </w:rPr>
        <w:t>符合</w:t>
      </w:r>
      <w:r>
        <w:rPr>
          <w:rFonts w:hint="eastAsia" w:ascii="仿宋" w:hAnsi="仿宋" w:eastAsia="仿宋"/>
          <w:sz w:val="32"/>
          <w:szCs w:val="32"/>
        </w:rPr>
        <w:t>条件的国家级和省级在线开放课程（见附件3）都必须申报；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（二）线下一流课程和社会实践一流课程申报对象：我校在编全体教师都可申报。</w:t>
      </w:r>
      <w:r>
        <w:rPr>
          <w:rFonts w:hint="eastAsia" w:ascii="仿宋" w:hAnsi="仿宋" w:eastAsia="仿宋"/>
          <w:sz w:val="32"/>
          <w:szCs w:val="32"/>
          <w:lang w:eastAsia="zh-CN"/>
        </w:rPr>
        <w:t>要求推荐参评国家级</w:t>
      </w:r>
      <w:r>
        <w:rPr>
          <w:rFonts w:hint="eastAsia" w:ascii="仿宋" w:hAnsi="仿宋" w:eastAsia="仿宋"/>
          <w:sz w:val="32"/>
          <w:szCs w:val="32"/>
        </w:rPr>
        <w:t>一流本科专业建设点</w:t>
      </w:r>
      <w:r>
        <w:rPr>
          <w:rFonts w:hint="eastAsia" w:ascii="仿宋" w:hAnsi="仿宋" w:eastAsia="仿宋"/>
          <w:sz w:val="32"/>
          <w:szCs w:val="32"/>
          <w:lang w:eastAsia="zh-CN"/>
        </w:rPr>
        <w:t>和入选</w:t>
      </w:r>
      <w:r>
        <w:rPr>
          <w:rFonts w:hint="eastAsia" w:ascii="仿宋" w:hAnsi="仿宋" w:eastAsia="仿宋"/>
          <w:sz w:val="32"/>
          <w:szCs w:val="32"/>
        </w:rPr>
        <w:t>省级一流本科专业建设点</w:t>
      </w:r>
      <w:r>
        <w:rPr>
          <w:rFonts w:hint="eastAsia" w:ascii="仿宋" w:hAnsi="仿宋" w:eastAsia="仿宋"/>
          <w:sz w:val="32"/>
          <w:szCs w:val="32"/>
          <w:lang w:eastAsia="zh-CN"/>
        </w:rPr>
        <w:t>的</w:t>
      </w:r>
      <w:r>
        <w:rPr>
          <w:rFonts w:hint="eastAsia" w:ascii="仿宋" w:hAnsi="仿宋" w:eastAsia="仿宋"/>
          <w:sz w:val="32"/>
          <w:szCs w:val="32"/>
        </w:rPr>
        <w:t>专业</w:t>
      </w:r>
      <w:r>
        <w:rPr>
          <w:rFonts w:hint="eastAsia" w:ascii="仿宋" w:hAnsi="仿宋" w:eastAsia="仿宋"/>
          <w:sz w:val="32"/>
          <w:szCs w:val="32"/>
          <w:lang w:eastAsia="zh-CN"/>
        </w:rPr>
        <w:t>（附件</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省级和校级教学团队</w:t>
      </w:r>
      <w:r>
        <w:rPr>
          <w:rFonts w:hint="eastAsia" w:ascii="仿宋" w:hAnsi="仿宋" w:eastAsia="仿宋"/>
          <w:sz w:val="32"/>
          <w:szCs w:val="32"/>
          <w:lang w:eastAsia="zh-CN"/>
        </w:rPr>
        <w:t>（附件</w:t>
      </w:r>
      <w:r>
        <w:rPr>
          <w:rFonts w:hint="eastAsia" w:ascii="仿宋" w:hAnsi="仿宋" w:eastAsia="仿宋"/>
          <w:sz w:val="32"/>
          <w:szCs w:val="32"/>
          <w:lang w:val="en-US" w:eastAsia="zh-CN"/>
        </w:rPr>
        <w:t>5</w:t>
      </w:r>
      <w:r>
        <w:rPr>
          <w:rFonts w:hint="eastAsia" w:ascii="仿宋" w:hAnsi="仿宋" w:eastAsia="仿宋"/>
          <w:sz w:val="32"/>
          <w:szCs w:val="32"/>
          <w:lang w:eastAsia="zh-CN"/>
        </w:rPr>
        <w:t>）</w:t>
      </w:r>
      <w:r>
        <w:rPr>
          <w:rFonts w:hint="eastAsia" w:ascii="仿宋" w:hAnsi="仿宋" w:eastAsia="仿宋"/>
          <w:sz w:val="32"/>
          <w:szCs w:val="32"/>
        </w:rPr>
        <w:t>都</w:t>
      </w:r>
      <w:r>
        <w:rPr>
          <w:rFonts w:hint="eastAsia" w:ascii="仿宋" w:hAnsi="仿宋" w:eastAsia="仿宋"/>
          <w:sz w:val="32"/>
          <w:szCs w:val="32"/>
          <w:lang w:eastAsia="zh-CN"/>
        </w:rPr>
        <w:t>应至少</w:t>
      </w:r>
      <w:r>
        <w:rPr>
          <w:rFonts w:hint="eastAsia" w:ascii="仿宋" w:hAnsi="仿宋" w:eastAsia="仿宋"/>
          <w:sz w:val="32"/>
          <w:szCs w:val="32"/>
        </w:rPr>
        <w:t>申报</w:t>
      </w:r>
      <w:r>
        <w:rPr>
          <w:rFonts w:hint="eastAsia" w:ascii="仿宋" w:hAnsi="仿宋" w:eastAsia="仿宋"/>
          <w:sz w:val="32"/>
          <w:szCs w:val="32"/>
          <w:lang w:eastAsia="zh-CN"/>
        </w:rPr>
        <w:t>一门课程</w:t>
      </w:r>
      <w:r>
        <w:rPr>
          <w:rFonts w:hint="eastAsia" w:ascii="仿宋" w:hAnsi="仿宋" w:eastAsia="仿宋"/>
          <w:sz w:val="32"/>
          <w:szCs w:val="32"/>
        </w:rPr>
        <w:t>；</w:t>
      </w:r>
      <w:r>
        <w:rPr>
          <w:rFonts w:hint="eastAsia" w:ascii="仿宋" w:hAnsi="仿宋" w:eastAsia="仿宋"/>
          <w:sz w:val="32"/>
          <w:szCs w:val="32"/>
          <w:lang w:eastAsia="zh-CN"/>
        </w:rPr>
        <w:t>各学院应集聚高层次引进人才、</w:t>
      </w:r>
      <w:r>
        <w:rPr>
          <w:rFonts w:hint="eastAsia" w:ascii="仿宋" w:hAnsi="仿宋" w:eastAsia="仿宋"/>
          <w:sz w:val="32"/>
          <w:szCs w:val="32"/>
        </w:rPr>
        <w:t>国家级</w:t>
      </w:r>
      <w:r>
        <w:rPr>
          <w:rFonts w:hint="eastAsia" w:ascii="仿宋" w:hAnsi="仿宋" w:eastAsia="仿宋"/>
          <w:sz w:val="32"/>
          <w:szCs w:val="32"/>
          <w:lang w:eastAsia="zh-CN"/>
        </w:rPr>
        <w:t>和</w:t>
      </w:r>
      <w:r>
        <w:rPr>
          <w:rFonts w:hint="eastAsia" w:ascii="仿宋" w:hAnsi="仿宋" w:eastAsia="仿宋"/>
          <w:sz w:val="32"/>
          <w:szCs w:val="32"/>
        </w:rPr>
        <w:t>省级教学名师积极参与申报。</w:t>
      </w:r>
    </w:p>
    <w:p>
      <w:pPr>
        <w:adjustRightInd w:val="0"/>
        <w:snapToGrid w:val="0"/>
        <w:spacing w:line="560" w:lineRule="exact"/>
        <w:ind w:firstLine="640" w:firstLineChars="200"/>
        <w:rPr>
          <w:rFonts w:ascii="仿宋" w:hAnsi="仿宋" w:eastAsia="仿宋_GB2312"/>
          <w:sz w:val="32"/>
          <w:szCs w:val="32"/>
        </w:rPr>
      </w:pPr>
      <w:r>
        <w:rPr>
          <w:rFonts w:hint="eastAsia" w:ascii="仿宋" w:hAnsi="仿宋" w:eastAsia="仿宋"/>
          <w:sz w:val="32"/>
          <w:szCs w:val="32"/>
        </w:rPr>
        <w:t>（三）</w:t>
      </w:r>
      <w:r>
        <w:rPr>
          <w:rFonts w:eastAsia="仿宋_GB2312"/>
          <w:sz w:val="32"/>
          <w:szCs w:val="32"/>
        </w:rPr>
        <w:t>已作为2019年</w:t>
      </w:r>
      <w:r>
        <w:rPr>
          <w:rFonts w:hint="eastAsia" w:eastAsia="仿宋_GB2312"/>
          <w:sz w:val="32"/>
          <w:szCs w:val="32"/>
        </w:rPr>
        <w:t>国家精品在线开放课程（现</w:t>
      </w:r>
      <w:r>
        <w:rPr>
          <w:rFonts w:eastAsia="仿宋_GB2312"/>
          <w:sz w:val="32"/>
          <w:szCs w:val="32"/>
        </w:rPr>
        <w:t>国家级线上一流课程</w:t>
      </w:r>
      <w:r>
        <w:rPr>
          <w:rFonts w:hint="eastAsia" w:eastAsia="仿宋_GB2312"/>
          <w:sz w:val="32"/>
          <w:szCs w:val="32"/>
        </w:rPr>
        <w:t>）和国家虚拟仿真实验教学项目（现国家级虚拟仿真实验教学一流课程）</w:t>
      </w:r>
      <w:r>
        <w:rPr>
          <w:rFonts w:eastAsia="仿宋_GB2312"/>
          <w:sz w:val="32"/>
          <w:szCs w:val="32"/>
        </w:rPr>
        <w:t>候选课程的，其课程负责人及团队主要成员不再参加此次国家级线下一流课程、国家级线上线下混合式一流课程和国家级社会实践一流课程三类课程的推荐</w:t>
      </w:r>
      <w:r>
        <w:rPr>
          <w:rFonts w:hint="eastAsia" w:eastAsia="仿宋_GB2312"/>
          <w:sz w:val="32"/>
          <w:szCs w:val="32"/>
        </w:rPr>
        <w:t>。</w:t>
      </w:r>
    </w:p>
    <w:p>
      <w:pPr>
        <w:adjustRightInd w:val="0"/>
        <w:snapToGrid w:val="0"/>
        <w:spacing w:line="560" w:lineRule="exact"/>
        <w:ind w:firstLine="643" w:firstLineChars="200"/>
        <w:rPr>
          <w:rFonts w:ascii="仿宋_GB2312" w:hAnsi="黑体" w:eastAsia="仿宋_GB2312"/>
          <w:b/>
          <w:bCs/>
          <w:sz w:val="32"/>
          <w:szCs w:val="32"/>
        </w:rPr>
      </w:pPr>
      <w:r>
        <w:rPr>
          <w:rFonts w:hint="eastAsia" w:ascii="仿宋_GB2312" w:hAnsi="黑体" w:eastAsia="仿宋_GB2312"/>
          <w:b/>
          <w:bCs/>
          <w:sz w:val="32"/>
          <w:szCs w:val="32"/>
        </w:rPr>
        <w:t>二、申报要求</w:t>
      </w:r>
    </w:p>
    <w:p>
      <w:pPr>
        <w:adjustRightInd w:val="0"/>
        <w:snapToGrid w:val="0"/>
        <w:spacing w:line="560" w:lineRule="exact"/>
        <w:ind w:firstLine="640" w:firstLineChars="200"/>
        <w:rPr>
          <w:rFonts w:ascii="黑体" w:hAnsi="黑体" w:eastAsia="仿宋"/>
          <w:sz w:val="32"/>
          <w:szCs w:val="32"/>
        </w:rPr>
      </w:pPr>
      <w:r>
        <w:rPr>
          <w:rFonts w:hint="eastAsia" w:ascii="仿宋_GB2312" w:hAnsi="黑体" w:eastAsia="仿宋_GB2312"/>
          <w:sz w:val="32"/>
          <w:szCs w:val="32"/>
        </w:rPr>
        <w:t>三类课程的申报范围和具体要求见</w:t>
      </w:r>
      <w:r>
        <w:rPr>
          <w:rFonts w:hint="eastAsia" w:ascii="仿宋" w:hAnsi="仿宋" w:eastAsia="仿宋"/>
          <w:sz w:val="32"/>
          <w:szCs w:val="32"/>
        </w:rPr>
        <w:t>《教育部办公厅关于开展2019年线下、线上线下混合式、社会实践国家级一流本科课程认定工作的通知》和《教育部关于一流本科课程建设的实施意见》。</w:t>
      </w:r>
    </w:p>
    <w:p>
      <w:pPr>
        <w:adjustRightInd w:val="0"/>
        <w:snapToGrid w:val="0"/>
        <w:spacing w:line="560" w:lineRule="exact"/>
        <w:ind w:firstLine="643" w:firstLineChars="200"/>
        <w:rPr>
          <w:b/>
          <w:bCs/>
          <w:sz w:val="32"/>
          <w:szCs w:val="32"/>
        </w:rPr>
      </w:pPr>
      <w:r>
        <w:rPr>
          <w:rFonts w:hint="eastAsia"/>
          <w:b/>
          <w:bCs/>
          <w:sz w:val="32"/>
          <w:szCs w:val="32"/>
        </w:rPr>
        <w:t>三、注意事项</w:t>
      </w:r>
    </w:p>
    <w:p>
      <w:pPr>
        <w:adjustRightInd w:val="0"/>
        <w:snapToGrid w:val="0"/>
        <w:spacing w:line="56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（一）报送时间</w:t>
      </w: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各学院于2019年12月6日前将申报表及汇总表（各一式1份）提交至行政楼教务处408室，联系电话：22867396，电子版发送至jczx@fjnu.edu.cn，邮件命名方式为“学院XXX课程申报材料”。逾期将不再受理相关申请。</w:t>
      </w:r>
    </w:p>
    <w:p>
      <w:pPr>
        <w:pStyle w:val="6"/>
        <w:shd w:val="clear" w:color="auto" w:fill="FFFFFF" w:themeFill="background1"/>
        <w:spacing w:before="0" w:beforeAutospacing="0" w:after="0" w:afterAutospacing="0" w:line="285" w:lineRule="atLeast"/>
        <w:ind w:firstLine="643" w:firstLineChars="200"/>
        <w:rPr>
          <w:rFonts w:cs="Times New Roman"/>
          <w:b/>
          <w:bCs/>
          <w:kern w:val="2"/>
          <w:sz w:val="32"/>
          <w:szCs w:val="32"/>
        </w:rPr>
      </w:pPr>
      <w:r>
        <w:rPr>
          <w:rFonts w:hint="eastAsia" w:cs="Times New Roman"/>
          <w:b/>
          <w:bCs/>
          <w:kern w:val="2"/>
          <w:sz w:val="32"/>
          <w:szCs w:val="32"/>
        </w:rPr>
        <w:t>（二）遴选推荐</w:t>
      </w: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学校将根据省教育厅分配我校的推荐名额，组织对各学院申报的课程进行评审并择优推荐。</w:t>
      </w:r>
    </w:p>
    <w:p>
      <w:pPr>
        <w:pStyle w:val="6"/>
        <w:shd w:val="clear" w:color="auto" w:fill="FFFFFF" w:themeFill="background1"/>
        <w:spacing w:before="0" w:beforeAutospacing="0" w:after="0" w:afterAutospacing="0" w:line="285" w:lineRule="atLeast"/>
        <w:ind w:firstLine="643" w:firstLineChars="200"/>
        <w:rPr>
          <w:rFonts w:hint="eastAsia" w:cs="Times New Roman"/>
          <w:b/>
          <w:bCs/>
          <w:kern w:val="2"/>
          <w:sz w:val="32"/>
          <w:szCs w:val="32"/>
        </w:rPr>
      </w:pPr>
      <w:r>
        <w:rPr>
          <w:rFonts w:hint="eastAsia" w:cs="Times New Roman"/>
          <w:b/>
          <w:bCs/>
          <w:kern w:val="2"/>
          <w:sz w:val="32"/>
          <w:szCs w:val="32"/>
        </w:rPr>
        <w:t>（三）课程视频</w:t>
      </w: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课程负责人10分钟“说课”视频和教学（课堂或实践）40分钟实录视频，待学校评审确定推荐名单后统一组织制作。</w:t>
      </w:r>
      <w:r>
        <w:rPr>
          <w:rFonts w:hint="eastAsia" w:ascii="仿宋" w:hAnsi="仿宋" w:eastAsia="仿宋"/>
          <w:sz w:val="32"/>
          <w:szCs w:val="32"/>
        </w:rPr>
        <w:t>申报书中涉及的其他附件材料，均应按时提交。</w:t>
      </w:r>
    </w:p>
    <w:p>
      <w:pPr>
        <w:spacing w:line="580" w:lineRule="exact"/>
        <w:ind w:left="1918" w:leftChars="304" w:hanging="1280" w:hangingChars="400"/>
        <w:rPr>
          <w:rFonts w:ascii="仿宋" w:hAnsi="仿宋" w:eastAsia="仿宋"/>
          <w:sz w:val="32"/>
          <w:szCs w:val="32"/>
        </w:rPr>
      </w:pPr>
    </w:p>
    <w:p>
      <w:pPr>
        <w:spacing w:line="580" w:lineRule="exact"/>
        <w:ind w:left="1918" w:leftChars="304" w:hanging="1280" w:hangingChars="400"/>
        <w:rPr>
          <w:rFonts w:hint="eastAsia" w:ascii="仿宋" w:hAnsi="仿宋" w:eastAsia="仿宋"/>
          <w:sz w:val="32"/>
          <w:szCs w:val="32"/>
        </w:rPr>
      </w:pPr>
      <w:r>
        <w:rPr>
          <w:rFonts w:hint="eastAsia" w:ascii="仿宋" w:hAnsi="仿宋" w:eastAsia="仿宋"/>
          <w:sz w:val="32"/>
          <w:szCs w:val="32"/>
        </w:rPr>
        <w:t>附件：1.教育部办公厅关于开展2019年线下、线上线下混合式、社会实践国家级一流本科课程认定工作的通知</w:t>
      </w:r>
    </w:p>
    <w:p>
      <w:pPr>
        <w:spacing w:line="580" w:lineRule="exact"/>
        <w:ind w:left="1918" w:leftChars="304" w:hanging="1280" w:hangingChars="400"/>
        <w:rPr>
          <w:rFonts w:hint="eastAsia" w:ascii="仿宋" w:hAnsi="仿宋" w:eastAsia="仿宋"/>
          <w:sz w:val="32"/>
          <w:szCs w:val="32"/>
        </w:rPr>
      </w:pPr>
      <w:r>
        <w:rPr>
          <w:rFonts w:hint="eastAsia" w:ascii="仿宋" w:hAnsi="仿宋" w:eastAsia="仿宋"/>
          <w:sz w:val="32"/>
          <w:szCs w:val="32"/>
          <w:lang w:val="en-US" w:eastAsia="zh-CN"/>
        </w:rPr>
        <w:t xml:space="preserve">      2.</w:t>
      </w:r>
      <w:r>
        <w:rPr>
          <w:rFonts w:hint="eastAsia" w:ascii="仿宋" w:hAnsi="仿宋" w:eastAsia="仿宋"/>
          <w:sz w:val="32"/>
          <w:szCs w:val="32"/>
        </w:rPr>
        <w:t>教育部关于一流本科课程建设的实施意见</w:t>
      </w:r>
    </w:p>
    <w:p>
      <w:pPr>
        <w:spacing w:line="580" w:lineRule="exact"/>
        <w:ind w:firstLine="1600" w:firstLineChars="5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我校国家级和省级在线开放课程汇总表</w:t>
      </w:r>
    </w:p>
    <w:p>
      <w:pPr>
        <w:spacing w:line="580" w:lineRule="exact"/>
        <w:ind w:left="1916" w:leftChars="760" w:hanging="320" w:hangingChars="100"/>
        <w:rPr>
          <w:rFonts w:hint="eastAsia" w:ascii="仿宋" w:hAnsi="仿宋" w:eastAsia="仿宋"/>
          <w:sz w:val="32"/>
          <w:szCs w:val="32"/>
          <w:lang w:val="en-US" w:eastAsia="zh-CN"/>
        </w:rPr>
      </w:pPr>
      <w:r>
        <w:rPr>
          <w:rFonts w:hint="eastAsia" w:ascii="仿宋" w:hAnsi="仿宋" w:eastAsia="仿宋"/>
          <w:sz w:val="32"/>
          <w:szCs w:val="32"/>
          <w:lang w:val="en-US" w:eastAsia="zh-CN"/>
        </w:rPr>
        <w:t>4.我校推荐参评国家级一流本科专业建设点及入选省级一流本科专业建设点专业名单</w:t>
      </w:r>
    </w:p>
    <w:p>
      <w:pPr>
        <w:spacing w:line="580" w:lineRule="exact"/>
        <w:ind w:left="1916" w:leftChars="760" w:hanging="320" w:hangingChars="100"/>
        <w:rPr>
          <w:rFonts w:hint="eastAsia" w:ascii="仿宋" w:hAnsi="仿宋" w:eastAsia="仿宋"/>
          <w:sz w:val="32"/>
          <w:szCs w:val="32"/>
          <w:lang w:val="en-US" w:eastAsia="zh-CN"/>
        </w:rPr>
      </w:pPr>
      <w:r>
        <w:rPr>
          <w:rFonts w:hint="eastAsia" w:ascii="仿宋" w:hAnsi="仿宋" w:eastAsia="仿宋"/>
          <w:sz w:val="32"/>
          <w:szCs w:val="32"/>
          <w:lang w:val="en-US" w:eastAsia="zh-CN"/>
        </w:rPr>
        <w:t>5.我校获批立项的</w:t>
      </w:r>
      <w:r>
        <w:rPr>
          <w:rFonts w:hint="eastAsia" w:ascii="仿宋" w:hAnsi="仿宋" w:eastAsia="仿宋"/>
          <w:sz w:val="32"/>
          <w:szCs w:val="32"/>
        </w:rPr>
        <w:t>省校</w:t>
      </w:r>
      <w:r>
        <w:rPr>
          <w:rFonts w:hint="eastAsia" w:ascii="仿宋" w:hAnsi="仿宋" w:eastAsia="仿宋"/>
          <w:sz w:val="32"/>
          <w:szCs w:val="32"/>
          <w:lang w:eastAsia="zh-CN"/>
        </w:rPr>
        <w:t>两</w:t>
      </w:r>
      <w:r>
        <w:rPr>
          <w:rFonts w:hint="eastAsia" w:ascii="仿宋" w:hAnsi="仿宋" w:eastAsia="仿宋"/>
          <w:sz w:val="32"/>
          <w:szCs w:val="32"/>
        </w:rPr>
        <w:t>级教学团队</w:t>
      </w:r>
      <w:r>
        <w:rPr>
          <w:rFonts w:hint="eastAsia" w:ascii="仿宋" w:hAnsi="仿宋" w:eastAsia="仿宋"/>
          <w:sz w:val="32"/>
          <w:szCs w:val="32"/>
          <w:lang w:eastAsia="zh-CN"/>
        </w:rPr>
        <w:t>汇总表</w:t>
      </w:r>
    </w:p>
    <w:p>
      <w:pPr>
        <w:spacing w:after="312" w:afterLines="100" w:line="580" w:lineRule="exact"/>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3" name="直线 4"/>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287pt;margin-top:1477.9pt;height:0pt;width:442.2pt;mso-position-horizontal-relative:margin;mso-position-vertical-relative:page;mso-wrap-distance-bottom:0pt;mso-wrap-distance-top:0pt;z-index:251662336;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PL/HjZAAAADgEAAA8AAAAAAAAAAQAgAAAAIgAA&#10;AGRycy9kb3ducmV2LnhtbFBLAQIUABQAAAAIAIdO4kArheOFzgEAAI0DAAAOAAAAAAAAAAEAIAAA&#10;ACgBAABkcnMvZTJvRG9jLnhtbFBLBQYAAAAABgAGAFkBAABoBQAAAAA=&#10;">
                <v:fill on="f" focussize="0,0"/>
                <v:stroke color="#000000" joinstyle="round"/>
                <v:imagedata o:title=""/>
                <o:lock v:ext="edit" aspectratio="f"/>
                <w10:wrap type="topAndBottom"/>
              </v:line>
            </w:pict>
          </mc:Fallback>
        </mc:AlternateContent>
      </w:r>
      <w:r>
        <w:rPr>
          <w:rFonts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2" name="直线 3"/>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87pt;margin-top:1477.9pt;height:0pt;width:442.2pt;mso-position-horizontal-relative:margin;mso-position-vertical-relative:page;mso-wrap-distance-bottom:0pt;mso-wrap-distance-top:0pt;z-index:251661312;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PL/HjZAAAADgEAAA8AAAAAAAAAAQAgAAAAIgAA&#10;AGRycy9kb3ducmV2LnhtbFBLAQIUABQAAAAIAIdO4kAm2wKszgEAAI0DAAAOAAAAAAAAAAEAIAAA&#10;ACgBAABkcnMvZTJvRG9jLnhtbFBLBQYAAAAABgAGAFkBAABoBQAAAAA=&#10;">
                <v:fill on="f" focussize="0,0"/>
                <v:stroke color="#000000" joinstyle="round"/>
                <v:imagedata o:title=""/>
                <o:lock v:ext="edit" aspectratio="f"/>
                <w10:wrap type="topAndBottom"/>
              </v:line>
            </w:pict>
          </mc:Fallback>
        </mc:AlternateContent>
      </w: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1" name="M_ztcline"/>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M_ztcline" o:spid="_x0000_s1026" o:spt="20" style="position:absolute;left:0pt;margin-left:287pt;margin-top:1446.7pt;height:0pt;width:442.2pt;mso-position-horizontal-relative:margin;mso-position-vertical-relative:page;mso-wrap-distance-bottom:0pt;mso-wrap-distance-top:0pt;z-index:251660288;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mc/C9oAAAAOAQAADwAAAAAAAAABACAAAAAiAAAAZHJzL2Rvd25y&#10;ZXYueG1sUEsBAhQAFAAAAAgAh07iQLg5YuvDAQAAjgMAAA4AAAAAAAAAAQAgAAAAKQEAAGRycy9l&#10;Mm9Eb2MueG1sUEsFBgAAAAAGAAYAWQEAAF4FAAAAAA==&#10;">
                <v:fill on="f" focussize="0,0"/>
                <v:stroke color="#000000" joinstyle="round"/>
                <v:imagedata o:title=""/>
                <o:lock v:ext="edit" aspectratio="f"/>
                <w10:wrap type="topAndBottom"/>
              </v:line>
            </w:pict>
          </mc:Fallback>
        </mc:AlternateContent>
      </w:r>
      <w:r>
        <w:rPr>
          <w:rFonts w:ascii="仿宋" w:hAnsi="仿宋" w:eastAsia="仿宋"/>
          <w:sz w:val="32"/>
          <w:szCs w:val="32"/>
        </w:rPr>
        <mc:AlternateContent>
          <mc:Choice Requires="wps">
            <w:drawing>
              <wp:anchor distT="0" distB="0" distL="114300" distR="114300" simplePos="0" relativeHeight="251665408"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6" name="直线 7"/>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87pt;margin-top:1477.9pt;height:0pt;width:442.2pt;mso-position-horizontal-relative:margin;mso-position-vertical-relative:page;mso-wrap-distance-bottom:0pt;mso-wrap-distance-top:0pt;z-index:251665408;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8v8eNkAAAAOAQAADwAAAAAAAAABACAAAAAiAAAA&#10;ZHJzL2Rvd25yZXYueG1sUEsBAhQAFAAAAAgAh07iQEO5qOrNAQAAjQMAAA4AAAAAAAAAAQAgAAAA&#10;KAEAAGRycy9lMm9Eb2MueG1sUEsFBgAAAAAGAAYAWQEAAGcFAAAAAA==&#10;">
                <v:fill on="f" focussize="0,0"/>
                <v:stroke color="#000000" joinstyle="round"/>
                <v:imagedata o:title=""/>
                <o:lock v:ext="edit" aspectratio="f"/>
                <w10:wrap type="topAndBottom"/>
              </v:line>
            </w:pict>
          </mc:Fallback>
        </mc:AlternateContent>
      </w:r>
      <w:r>
        <w:rPr>
          <w:rFonts w:ascii="仿宋" w:hAnsi="仿宋" w:eastAsia="仿宋"/>
          <w:sz w:val="32"/>
          <w:szCs w:val="32"/>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5" name="直线 6"/>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87pt;margin-top:1477.9pt;height:0pt;width:442.2pt;mso-position-horizontal-relative:margin;mso-position-vertical-relative:page;mso-wrap-distance-bottom:0pt;mso-wrap-distance-top:0pt;z-index:25166438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8v8eNkAAAAOAQAADwAAAAAAAAABACAAAAAiAAAA&#10;ZHJzL2Rvd25yZXYueG1sUEsBAhQAFAAAAAgAh07iQKRQQXnNAQAAjQMAAA4AAAAAAAAAAQAgAAAA&#10;KAEAAGRycy9lMm9Eb2MueG1sUEsFBgAAAAAGAAYAWQEAAGcFAAAAAA==&#10;">
                <v:fill on="f" focussize="0,0"/>
                <v:stroke color="#000000" joinstyle="round"/>
                <v:imagedata o:title=""/>
                <o:lock v:ext="edit" aspectratio="f"/>
                <w10:wrap type="topAndBottom"/>
              </v:line>
            </w:pict>
          </mc:Fallback>
        </mc:AlternateContent>
      </w:r>
      <w:r>
        <w:rPr>
          <w:rFonts w:ascii="仿宋" w:hAnsi="仿宋" w:eastAsia="仿宋"/>
          <w:sz w:val="32"/>
          <w:szCs w:val="32"/>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4" name="直线 5"/>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87pt;margin-top:1446.7pt;height:0pt;width:442.2pt;mso-position-horizontal-relative:margin;mso-position-vertical-relative:page;mso-wrap-distance-bottom:0pt;mso-wrap-distance-top:0pt;z-index:251663360;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ZnPwvaAAAADgEAAA8AAAAAAAAAAQAgAAAAIgAA&#10;AGRycy9kb3ducmV2LnhtbFBLAQIUABQAAAAIAIdO4kBRC0UkzQEAAI0DAAAOAAAAAAAAAAEAIAAA&#10;ACkBAABkcnMvZTJvRG9jLnhtbFBLBQYAAAAABgAGAFkBAABoBQAAAAA=&#10;">
                <v:fill on="f" focussize="0,0"/>
                <v:stroke color="#000000" joinstyle="round"/>
                <v:imagedata o:title=""/>
                <o:lock v:ext="edit" aspectratio="f"/>
                <w10:wrap type="topAndBottom"/>
              </v:line>
            </w:pict>
          </mc:Fallback>
        </mc:AlternateContent>
      </w:r>
    </w:p>
    <w:p>
      <w:pPr>
        <w:pStyle w:val="6"/>
        <w:shd w:val="clear" w:color="auto" w:fill="FFFFFF" w:themeFill="background1"/>
        <w:spacing w:before="0" w:beforeAutospacing="0" w:after="0" w:afterAutospacing="0" w:line="285" w:lineRule="atLeast"/>
        <w:ind w:firstLine="320" w:firstLineChars="100"/>
        <w:jc w:val="right"/>
        <w:rPr>
          <w:rFonts w:ascii="仿宋" w:hAnsi="仿宋" w:eastAsia="仿宋" w:cs="Times New Roman"/>
          <w:kern w:val="2"/>
          <w:sz w:val="32"/>
          <w:szCs w:val="32"/>
        </w:rPr>
      </w:pPr>
      <w:r>
        <w:rPr>
          <w:rFonts w:hint="eastAsia" w:ascii="仿宋" w:hAnsi="仿宋" w:eastAsia="仿宋" w:cs="Times New Roman"/>
          <w:kern w:val="2"/>
          <w:sz w:val="32"/>
          <w:szCs w:val="32"/>
        </w:rPr>
        <w:t>福建师范大学教务处</w:t>
      </w: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 xml:space="preserve">                                 </w:t>
      </w:r>
      <w:r>
        <w:rPr>
          <w:rFonts w:hint="eastAsia" w:ascii="仿宋" w:hAnsi="仿宋" w:eastAsia="仿宋" w:cs="Times New Roman"/>
          <w:kern w:val="2"/>
          <w:sz w:val="32"/>
          <w:szCs w:val="32"/>
          <w:lang w:val="en-US" w:eastAsia="zh-CN"/>
        </w:rPr>
        <w:t xml:space="preserve">  </w:t>
      </w:r>
      <w:r>
        <w:rPr>
          <w:rFonts w:hint="eastAsia" w:ascii="仿宋" w:hAnsi="仿宋" w:eastAsia="仿宋" w:cs="Times New Roman"/>
          <w:kern w:val="2"/>
          <w:sz w:val="32"/>
          <w:szCs w:val="32"/>
        </w:rPr>
        <w:t>2019年11月26</w:t>
      </w: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r>
        <w:rPr>
          <w:rFonts w:hint="eastAsia" w:ascii="仿宋" w:hAnsi="仿宋" w:eastAsia="仿宋" w:cs="Times New Roman"/>
          <w:kern w:val="2"/>
          <w:sz w:val="32"/>
          <w:szCs w:val="32"/>
        </w:rPr>
        <w:t>附件1</w:t>
      </w:r>
    </w:p>
    <w:p>
      <w:pPr>
        <w:spacing w:line="560" w:lineRule="exact"/>
        <w:jc w:val="center"/>
        <w:rPr>
          <w:rFonts w:eastAsia="方正小标宋简体"/>
          <w:sz w:val="36"/>
          <w:szCs w:val="36"/>
        </w:rPr>
      </w:pPr>
      <w:r>
        <w:rPr>
          <w:rFonts w:eastAsia="方正小标宋简体"/>
          <w:sz w:val="36"/>
          <w:szCs w:val="36"/>
        </w:rPr>
        <w:t>教育部办公厅关于开展</w:t>
      </w:r>
      <w:r>
        <w:rPr>
          <w:rFonts w:hint="eastAsia" w:ascii="方正小标宋简体" w:hAnsi="方正小标宋简体" w:eastAsia="方正小标宋简体" w:cs="方正小标宋简体"/>
          <w:sz w:val="36"/>
          <w:szCs w:val="36"/>
        </w:rPr>
        <w:t>2019</w:t>
      </w:r>
      <w:r>
        <w:rPr>
          <w:rFonts w:eastAsia="方正小标宋简体"/>
          <w:sz w:val="36"/>
          <w:szCs w:val="36"/>
        </w:rPr>
        <w:t>年线下、线上线下</w:t>
      </w:r>
    </w:p>
    <w:p>
      <w:pPr>
        <w:spacing w:line="560" w:lineRule="exact"/>
        <w:jc w:val="center"/>
        <w:rPr>
          <w:rFonts w:eastAsia="方正小标宋简体"/>
          <w:sz w:val="36"/>
          <w:szCs w:val="36"/>
        </w:rPr>
      </w:pPr>
      <w:r>
        <w:rPr>
          <w:rFonts w:eastAsia="方正小标宋简体"/>
          <w:sz w:val="36"/>
          <w:szCs w:val="36"/>
        </w:rPr>
        <w:t>混合式、社会实践国家级一流</w:t>
      </w:r>
    </w:p>
    <w:p>
      <w:pPr>
        <w:spacing w:line="560" w:lineRule="exact"/>
        <w:jc w:val="center"/>
        <w:rPr>
          <w:rFonts w:eastAsia="方正小标宋简体"/>
          <w:sz w:val="36"/>
          <w:szCs w:val="36"/>
        </w:rPr>
      </w:pPr>
      <w:r>
        <w:rPr>
          <w:rFonts w:eastAsia="方正小标宋简体"/>
          <w:sz w:val="36"/>
          <w:szCs w:val="36"/>
        </w:rPr>
        <w:t>本科课程认定工作的通知</w:t>
      </w:r>
    </w:p>
    <w:p>
      <w:pPr>
        <w:rPr>
          <w:rFonts w:eastAsia="仿宋_GB2312"/>
          <w:sz w:val="32"/>
          <w:szCs w:val="32"/>
        </w:rPr>
      </w:pPr>
    </w:p>
    <w:p>
      <w:pPr>
        <w:spacing w:line="560" w:lineRule="exact"/>
        <w:rPr>
          <w:rFonts w:eastAsia="仿宋_GB2312"/>
          <w:sz w:val="32"/>
          <w:szCs w:val="32"/>
        </w:rPr>
      </w:pPr>
      <w:r>
        <w:rPr>
          <w:rFonts w:eastAsia="仿宋_GB2312"/>
          <w:sz w:val="32"/>
          <w:szCs w:val="32"/>
        </w:rPr>
        <w:t>各省、自治区、直辖市教育厅（教委），新疆生产建设兵团教育局，有关部门（单位）教育司（局），部属各高等学校、部省合建各高等学校：</w:t>
      </w:r>
    </w:p>
    <w:p>
      <w:pPr>
        <w:spacing w:line="560" w:lineRule="exact"/>
        <w:ind w:firstLine="640" w:firstLineChars="200"/>
        <w:rPr>
          <w:rFonts w:eastAsia="仿宋_GB2312"/>
          <w:sz w:val="32"/>
          <w:szCs w:val="32"/>
        </w:rPr>
      </w:pPr>
      <w:r>
        <w:rPr>
          <w:rFonts w:eastAsia="仿宋_GB2312"/>
          <w:sz w:val="32"/>
          <w:szCs w:val="32"/>
        </w:rPr>
        <w:t>为贯彻落实《教育部关于一流本科课程建设的实施意见》（教高〔2019〕8号，以下简称《实施意见》），实施一流本科课程</w:t>
      </w:r>
      <w:r>
        <w:rPr>
          <w:rFonts w:hint="eastAsia" w:eastAsia="仿宋_GB2312"/>
          <w:sz w:val="32"/>
          <w:szCs w:val="32"/>
        </w:rPr>
        <w:t>“双万计划”，</w:t>
      </w:r>
      <w:r>
        <w:rPr>
          <w:rFonts w:eastAsia="仿宋_GB2312"/>
          <w:sz w:val="32"/>
          <w:szCs w:val="32"/>
        </w:rPr>
        <w:t>在先期启动2019年</w:t>
      </w:r>
      <w:r>
        <w:rPr>
          <w:rFonts w:hint="eastAsia" w:eastAsia="仿宋_GB2312"/>
          <w:sz w:val="32"/>
          <w:szCs w:val="32"/>
        </w:rPr>
        <w:t>国家精品在线开放课程（现</w:t>
      </w:r>
      <w:r>
        <w:rPr>
          <w:rFonts w:eastAsia="仿宋_GB2312"/>
          <w:sz w:val="32"/>
          <w:szCs w:val="32"/>
        </w:rPr>
        <w:t>国家级线上一流课程</w:t>
      </w:r>
      <w:r>
        <w:rPr>
          <w:rFonts w:hint="eastAsia" w:eastAsia="仿宋_GB2312"/>
          <w:sz w:val="32"/>
          <w:szCs w:val="32"/>
        </w:rPr>
        <w:t>）和国家虚拟仿真实验教学项目（现国家级虚拟仿真实验教学一流课程）推荐认定工作后，</w:t>
      </w:r>
      <w:r>
        <w:rPr>
          <w:rFonts w:eastAsia="仿宋_GB2312"/>
          <w:sz w:val="32"/>
          <w:szCs w:val="32"/>
        </w:rPr>
        <w:t>现决定</w:t>
      </w:r>
      <w:r>
        <w:rPr>
          <w:rFonts w:hint="eastAsia" w:eastAsia="仿宋_GB2312"/>
          <w:sz w:val="32"/>
          <w:szCs w:val="32"/>
        </w:rPr>
        <w:t>开展</w:t>
      </w:r>
      <w:r>
        <w:rPr>
          <w:rFonts w:eastAsia="仿宋_GB2312"/>
          <w:sz w:val="32"/>
          <w:szCs w:val="32"/>
        </w:rPr>
        <w:t>2019年国家级线下一流课程、国家级线上线下混合式一流课程和国家级社会实践一流课程推荐认定工作</w:t>
      </w:r>
      <w:r>
        <w:rPr>
          <w:rFonts w:hint="eastAsia" w:eastAsia="仿宋_GB2312"/>
          <w:sz w:val="32"/>
          <w:szCs w:val="32"/>
        </w:rPr>
        <w:t>，现将</w:t>
      </w:r>
      <w:r>
        <w:rPr>
          <w:rFonts w:eastAsia="仿宋_GB2312"/>
          <w:sz w:val="32"/>
          <w:szCs w:val="32"/>
        </w:rPr>
        <w:t>有关事项通知如下</w:t>
      </w:r>
      <w:r>
        <w:rPr>
          <w:rFonts w:hint="eastAsia" w:eastAsia="仿宋_GB2312"/>
          <w:sz w:val="32"/>
          <w:szCs w:val="32"/>
        </w:rPr>
        <w:t>。</w:t>
      </w:r>
    </w:p>
    <w:p>
      <w:pPr>
        <w:spacing w:line="560" w:lineRule="exact"/>
        <w:ind w:firstLine="640" w:firstLineChars="200"/>
        <w:rPr>
          <w:rFonts w:eastAsia="黑体"/>
          <w:sz w:val="32"/>
          <w:szCs w:val="32"/>
        </w:rPr>
      </w:pPr>
      <w:r>
        <w:rPr>
          <w:rFonts w:eastAsia="黑体"/>
          <w:sz w:val="32"/>
          <w:szCs w:val="32"/>
        </w:rPr>
        <w:t>一、推荐组织工作</w:t>
      </w:r>
    </w:p>
    <w:p>
      <w:pPr>
        <w:spacing w:line="560" w:lineRule="exact"/>
        <w:ind w:firstLine="640" w:firstLineChars="200"/>
        <w:rPr>
          <w:rFonts w:eastAsia="仿宋_GB2312"/>
          <w:sz w:val="32"/>
          <w:szCs w:val="32"/>
        </w:rPr>
      </w:pPr>
      <w:r>
        <w:rPr>
          <w:rFonts w:eastAsia="仿宋_GB2312"/>
          <w:sz w:val="32"/>
          <w:szCs w:val="32"/>
        </w:rPr>
        <w:t>有关部门和高校要充分认识一流本科课程建设的重要意义，积极开展五类一流本科课程建设大讨论，推动教师全员参与课程理念创新、内容创新和模式创新，形成打造“金课”</w:t>
      </w:r>
      <w:r>
        <w:rPr>
          <w:rFonts w:hint="eastAsia" w:eastAsia="仿宋_GB2312"/>
          <w:sz w:val="32"/>
          <w:szCs w:val="32"/>
        </w:rPr>
        <w:t>、</w:t>
      </w:r>
      <w:r>
        <w:rPr>
          <w:rFonts w:eastAsia="仿宋_GB2312"/>
          <w:sz w:val="32"/>
          <w:szCs w:val="32"/>
        </w:rPr>
        <w:t>淘汰“水课”的教学改革氛围。加强一流本科课程建设与应用，</w:t>
      </w:r>
      <w:r>
        <w:rPr>
          <w:rFonts w:hint="eastAsia" w:eastAsia="仿宋_GB2312"/>
          <w:sz w:val="32"/>
          <w:szCs w:val="32"/>
        </w:rPr>
        <w:t>提升本科课程的高阶性、创新性和挑战度。</w:t>
      </w:r>
    </w:p>
    <w:p>
      <w:pPr>
        <w:spacing w:line="560" w:lineRule="exact"/>
        <w:ind w:firstLine="640" w:firstLineChars="200"/>
        <w:rPr>
          <w:rFonts w:eastAsia="仿宋_GB2312"/>
          <w:sz w:val="32"/>
          <w:szCs w:val="32"/>
        </w:rPr>
      </w:pPr>
      <w:r>
        <w:rPr>
          <w:rFonts w:eastAsia="仿宋_GB2312"/>
          <w:sz w:val="32"/>
          <w:szCs w:val="32"/>
        </w:rPr>
        <w:t>有关部门和各高校要按照《“双万计划”国家级一流本科课程推荐认定办法》（见《实施意见》附件）</w:t>
      </w:r>
      <w:r>
        <w:rPr>
          <w:rFonts w:hint="eastAsia" w:eastAsia="仿宋_GB2312"/>
          <w:sz w:val="32"/>
          <w:szCs w:val="32"/>
        </w:rPr>
        <w:t>的有关要求，开展</w:t>
      </w:r>
      <w:r>
        <w:rPr>
          <w:rFonts w:eastAsia="仿宋_GB2312"/>
          <w:sz w:val="32"/>
          <w:szCs w:val="32"/>
        </w:rPr>
        <w:t>国家级线下一流课程、国家级线上线下混合式一流课程和国家级社会实践一流课程</w:t>
      </w:r>
      <w:r>
        <w:rPr>
          <w:rFonts w:hint="eastAsia" w:eastAsia="仿宋_GB2312"/>
          <w:sz w:val="32"/>
          <w:szCs w:val="32"/>
        </w:rPr>
        <w:t>的</w:t>
      </w:r>
      <w:r>
        <w:rPr>
          <w:rFonts w:eastAsia="仿宋_GB2312"/>
          <w:sz w:val="32"/>
          <w:szCs w:val="32"/>
        </w:rPr>
        <w:t>申报推荐工作</w:t>
      </w:r>
      <w:r>
        <w:rPr>
          <w:rFonts w:hint="eastAsia" w:eastAsia="仿宋_GB2312"/>
          <w:sz w:val="32"/>
          <w:szCs w:val="32"/>
        </w:rPr>
        <w:t>。评价遴选程序要保证规范、科学</w:t>
      </w:r>
      <w:r>
        <w:rPr>
          <w:rFonts w:eastAsia="仿宋_GB2312"/>
          <w:sz w:val="32"/>
          <w:szCs w:val="32"/>
        </w:rPr>
        <w:t>，</w:t>
      </w:r>
      <w:r>
        <w:rPr>
          <w:rFonts w:hint="eastAsia" w:eastAsia="仿宋_GB2312"/>
          <w:sz w:val="32"/>
          <w:szCs w:val="32"/>
        </w:rPr>
        <w:t>确保</w:t>
      </w:r>
      <w:r>
        <w:rPr>
          <w:rFonts w:eastAsia="仿宋_GB2312"/>
          <w:sz w:val="32"/>
          <w:szCs w:val="32"/>
        </w:rPr>
        <w:t>课程质量。</w:t>
      </w:r>
    </w:p>
    <w:p>
      <w:pPr>
        <w:spacing w:line="560" w:lineRule="exact"/>
        <w:ind w:firstLine="640" w:firstLineChars="200"/>
        <w:rPr>
          <w:rFonts w:eastAsia="仿宋_GB2312"/>
          <w:sz w:val="32"/>
          <w:szCs w:val="32"/>
        </w:rPr>
      </w:pPr>
      <w:r>
        <w:rPr>
          <w:rFonts w:eastAsia="仿宋_GB2312"/>
          <w:sz w:val="32"/>
          <w:szCs w:val="32"/>
        </w:rPr>
        <w:t>从2019年起，教育部</w:t>
      </w:r>
      <w:r>
        <w:rPr>
          <w:rFonts w:hint="eastAsia" w:eastAsia="仿宋_GB2312"/>
          <w:sz w:val="32"/>
          <w:szCs w:val="32"/>
        </w:rPr>
        <w:t>对</w:t>
      </w:r>
      <w:r>
        <w:rPr>
          <w:rFonts w:eastAsia="仿宋_GB2312"/>
          <w:sz w:val="32"/>
          <w:szCs w:val="32"/>
        </w:rPr>
        <w:t>国家级五类一流</w:t>
      </w:r>
      <w:r>
        <w:rPr>
          <w:rFonts w:hint="eastAsia" w:eastAsia="仿宋_GB2312"/>
          <w:sz w:val="32"/>
          <w:szCs w:val="32"/>
        </w:rPr>
        <w:t>本科</w:t>
      </w:r>
      <w:r>
        <w:rPr>
          <w:rFonts w:eastAsia="仿宋_GB2312"/>
          <w:sz w:val="32"/>
          <w:szCs w:val="32"/>
        </w:rPr>
        <w:t>课程候选课程所涉及的课程负责人及团队主要成员进行课程数量限定，每人每年限一门课程</w:t>
      </w:r>
      <w:r>
        <w:rPr>
          <w:rFonts w:hint="eastAsia" w:eastAsia="仿宋_GB2312"/>
          <w:sz w:val="32"/>
          <w:szCs w:val="32"/>
        </w:rPr>
        <w:t>。课程负责人须为申报高校正式聘用的教师。</w:t>
      </w:r>
      <w:r>
        <w:rPr>
          <w:rFonts w:eastAsia="仿宋_GB2312"/>
          <w:sz w:val="32"/>
          <w:szCs w:val="32"/>
        </w:rPr>
        <w:t>已作为2019年</w:t>
      </w:r>
      <w:r>
        <w:rPr>
          <w:rFonts w:hint="eastAsia" w:eastAsia="仿宋_GB2312"/>
          <w:sz w:val="32"/>
          <w:szCs w:val="32"/>
        </w:rPr>
        <w:t>国家精品在线开放课程（现</w:t>
      </w:r>
      <w:r>
        <w:rPr>
          <w:rFonts w:eastAsia="仿宋_GB2312"/>
          <w:sz w:val="32"/>
          <w:szCs w:val="32"/>
        </w:rPr>
        <w:t>国家级线上一流课程</w:t>
      </w:r>
      <w:r>
        <w:rPr>
          <w:rFonts w:hint="eastAsia" w:eastAsia="仿宋_GB2312"/>
          <w:sz w:val="32"/>
          <w:szCs w:val="32"/>
        </w:rPr>
        <w:t>）和国家虚拟仿真实验教学项目（现国家级虚拟仿真实验教学一流课程）</w:t>
      </w:r>
      <w:r>
        <w:rPr>
          <w:rFonts w:eastAsia="仿宋_GB2312"/>
          <w:sz w:val="32"/>
          <w:szCs w:val="32"/>
        </w:rPr>
        <w:t>候选课程的，其课程负责人及团队主要成员不再参加此次国家级线下一流课程、国家级线上线下混合式一流课程和国家级社会实践一流课程三类课程的推荐。</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019年五类国家级一流</w:t>
      </w:r>
      <w:r>
        <w:rPr>
          <w:rFonts w:hint="eastAsia" w:eastAsia="仿宋_GB2312"/>
          <w:sz w:val="32"/>
          <w:szCs w:val="32"/>
        </w:rPr>
        <w:t>本科</w:t>
      </w:r>
      <w:r>
        <w:rPr>
          <w:rFonts w:eastAsia="仿宋_GB2312"/>
          <w:sz w:val="32"/>
          <w:szCs w:val="32"/>
        </w:rPr>
        <w:t>课程认定结果将一并公布</w:t>
      </w:r>
      <w:r>
        <w:rPr>
          <w:rFonts w:hint="eastAsia" w:eastAsia="仿宋_GB2312"/>
          <w:sz w:val="32"/>
          <w:szCs w:val="32"/>
        </w:rPr>
        <w:t>。</w:t>
      </w:r>
    </w:p>
    <w:p>
      <w:pPr>
        <w:spacing w:line="560" w:lineRule="exact"/>
        <w:ind w:firstLine="640" w:firstLineChars="200"/>
        <w:rPr>
          <w:rFonts w:eastAsia="黑体"/>
          <w:sz w:val="32"/>
          <w:szCs w:val="32"/>
        </w:rPr>
      </w:pPr>
      <w:r>
        <w:rPr>
          <w:rFonts w:eastAsia="黑体"/>
          <w:sz w:val="32"/>
          <w:szCs w:val="32"/>
        </w:rPr>
        <w:t>二、三类一流课程推荐数量</w:t>
      </w:r>
    </w:p>
    <w:p>
      <w:pPr>
        <w:spacing w:line="560" w:lineRule="exact"/>
        <w:ind w:firstLine="640" w:firstLineChars="200"/>
        <w:rPr>
          <w:rFonts w:eastAsia="仿宋_GB2312"/>
          <w:sz w:val="32"/>
          <w:szCs w:val="32"/>
        </w:rPr>
      </w:pPr>
      <w:r>
        <w:rPr>
          <w:rFonts w:eastAsia="仿宋_GB2312"/>
          <w:sz w:val="32"/>
          <w:szCs w:val="32"/>
        </w:rPr>
        <w:t>国家级线下一流课程、国家级线上线下混合式一流课程和国家级社会实践一流课程</w:t>
      </w:r>
      <w:r>
        <w:rPr>
          <w:rFonts w:hint="eastAsia" w:eastAsia="仿宋_GB2312"/>
          <w:sz w:val="32"/>
          <w:szCs w:val="32"/>
        </w:rPr>
        <w:t>的</w:t>
      </w:r>
      <w:r>
        <w:rPr>
          <w:rFonts w:eastAsia="仿宋_GB2312"/>
          <w:sz w:val="32"/>
          <w:szCs w:val="32"/>
        </w:rPr>
        <w:t>推荐工作</w:t>
      </w:r>
      <w:r>
        <w:rPr>
          <w:rFonts w:hint="eastAsia" w:eastAsia="仿宋_GB2312"/>
          <w:sz w:val="32"/>
          <w:szCs w:val="32"/>
        </w:rPr>
        <w:t>采取</w:t>
      </w:r>
      <w:r>
        <w:rPr>
          <w:rFonts w:eastAsia="仿宋_GB2312"/>
          <w:sz w:val="32"/>
          <w:szCs w:val="32"/>
        </w:rPr>
        <w:t>总额控制、分年度推荐的办法。中央部门所属高校、部省合建高校和各省级教育行政部门的推荐总额分三年使用，</w:t>
      </w:r>
      <w:r>
        <w:rPr>
          <w:rFonts w:hint="eastAsia" w:eastAsia="仿宋_GB2312"/>
          <w:sz w:val="32"/>
          <w:szCs w:val="32"/>
        </w:rPr>
        <w:t>每年申报课程数量</w:t>
      </w:r>
      <w:r>
        <w:rPr>
          <w:rFonts w:eastAsia="仿宋_GB2312"/>
          <w:sz w:val="32"/>
          <w:szCs w:val="32"/>
        </w:rPr>
        <w:t>可在规定的年度上限内统筹调配。2019年度各单位推荐数量最高不超过三年推荐总额的20%。</w:t>
      </w:r>
    </w:p>
    <w:p>
      <w:pPr>
        <w:spacing w:line="560" w:lineRule="exact"/>
        <w:ind w:firstLine="640" w:firstLineChars="200"/>
        <w:rPr>
          <w:rFonts w:eastAsia="仿宋_GB2312"/>
          <w:sz w:val="32"/>
          <w:szCs w:val="32"/>
        </w:rPr>
      </w:pPr>
      <w:r>
        <w:rPr>
          <w:rFonts w:eastAsia="仿宋_GB2312"/>
          <w:sz w:val="32"/>
          <w:szCs w:val="32"/>
        </w:rPr>
        <w:t>教育部直属高校、部省合建高校、有关部门（单位）教育司（局）和省级教育行政部门联系人</w:t>
      </w:r>
      <w:r>
        <w:rPr>
          <w:rFonts w:hint="eastAsia" w:eastAsia="仿宋_GB2312"/>
          <w:sz w:val="32"/>
          <w:szCs w:val="32"/>
        </w:rPr>
        <w:t>自</w:t>
      </w:r>
      <w:r>
        <w:rPr>
          <w:rFonts w:eastAsia="仿宋_GB2312"/>
          <w:sz w:val="32"/>
          <w:szCs w:val="32"/>
        </w:rPr>
        <w:t>2019年11月</w:t>
      </w:r>
      <w:r>
        <w:rPr>
          <w:rFonts w:hint="eastAsia" w:eastAsia="仿宋_GB2312"/>
          <w:sz w:val="32"/>
          <w:szCs w:val="32"/>
        </w:rPr>
        <w:t>25</w:t>
      </w:r>
      <w:r>
        <w:rPr>
          <w:rFonts w:eastAsia="仿宋_GB2312"/>
          <w:sz w:val="32"/>
          <w:szCs w:val="32"/>
        </w:rPr>
        <w:t>日起</w:t>
      </w:r>
      <w:r>
        <w:rPr>
          <w:rFonts w:hint="eastAsia" w:eastAsia="仿宋_GB2312"/>
          <w:sz w:val="32"/>
          <w:szCs w:val="32"/>
        </w:rPr>
        <w:t>可使用</w:t>
      </w:r>
      <w:r>
        <w:rPr>
          <w:rFonts w:eastAsia="仿宋_GB2312"/>
          <w:sz w:val="32"/>
          <w:szCs w:val="32"/>
        </w:rPr>
        <w:t>原“国家精品在线开放课程”账号和密码登录国家级一流本科课程建设工作网（网址：www.chinaooc.cn，以下简称“工作网”）</w:t>
      </w:r>
      <w:r>
        <w:rPr>
          <w:rFonts w:hint="eastAsia" w:eastAsia="仿宋_GB2312"/>
          <w:sz w:val="32"/>
          <w:szCs w:val="32"/>
        </w:rPr>
        <w:t>，在</w:t>
      </w:r>
      <w:r>
        <w:rPr>
          <w:rFonts w:eastAsia="仿宋_GB2312"/>
          <w:sz w:val="32"/>
          <w:szCs w:val="32"/>
        </w:rPr>
        <w:t>“线下一流课程</w:t>
      </w:r>
      <w:r>
        <w:rPr>
          <w:rFonts w:hint="eastAsia" w:eastAsia="仿宋_GB2312"/>
          <w:sz w:val="32"/>
          <w:szCs w:val="32"/>
        </w:rPr>
        <w:t xml:space="preserve"> </w:t>
      </w:r>
      <w:r>
        <w:rPr>
          <w:rFonts w:eastAsia="仿宋_GB2312"/>
          <w:sz w:val="32"/>
          <w:szCs w:val="32"/>
        </w:rPr>
        <w:t>线上线下混合式一流课程社会实践一流课程”栏目查阅推荐总额。</w:t>
      </w:r>
      <w:r>
        <w:rPr>
          <w:rFonts w:hint="eastAsia" w:eastAsia="仿宋_GB2312"/>
          <w:sz w:val="32"/>
          <w:szCs w:val="32"/>
        </w:rPr>
        <w:t>若</w:t>
      </w:r>
      <w:r>
        <w:rPr>
          <w:rFonts w:eastAsia="仿宋_GB2312"/>
          <w:sz w:val="32"/>
          <w:szCs w:val="32"/>
        </w:rPr>
        <w:t>联系人与原</w:t>
      </w:r>
      <w:r>
        <w:rPr>
          <w:rFonts w:hint="eastAsia" w:eastAsia="仿宋_GB2312"/>
          <w:sz w:val="32"/>
          <w:szCs w:val="32"/>
        </w:rPr>
        <w:t>“</w:t>
      </w:r>
      <w:r>
        <w:rPr>
          <w:rFonts w:eastAsia="仿宋_GB2312"/>
          <w:sz w:val="32"/>
          <w:szCs w:val="32"/>
        </w:rPr>
        <w:t>国家精品在线开放课程</w:t>
      </w:r>
      <w:r>
        <w:rPr>
          <w:rFonts w:hint="eastAsia" w:eastAsia="仿宋_GB2312"/>
          <w:sz w:val="32"/>
          <w:szCs w:val="32"/>
        </w:rPr>
        <w:t>”</w:t>
      </w:r>
      <w:r>
        <w:rPr>
          <w:rFonts w:eastAsia="仿宋_GB2312"/>
          <w:sz w:val="32"/>
          <w:szCs w:val="32"/>
        </w:rPr>
        <w:t>推荐工作联系人不一致，请于2019年11月</w:t>
      </w:r>
      <w:r>
        <w:rPr>
          <w:rFonts w:hint="eastAsia" w:eastAsia="仿宋_GB2312"/>
          <w:sz w:val="32"/>
          <w:szCs w:val="32"/>
        </w:rPr>
        <w:t>29</w:t>
      </w:r>
      <w:r>
        <w:rPr>
          <w:rFonts w:eastAsia="仿宋_GB2312"/>
          <w:sz w:val="32"/>
          <w:szCs w:val="32"/>
        </w:rPr>
        <w:t>日</w:t>
      </w:r>
      <w:r>
        <w:rPr>
          <w:rFonts w:hint="eastAsia" w:eastAsia="仿宋_GB2312"/>
          <w:sz w:val="32"/>
          <w:szCs w:val="32"/>
        </w:rPr>
        <w:t>（星期五）</w:t>
      </w:r>
      <w:r>
        <w:rPr>
          <w:rFonts w:eastAsia="仿宋_GB2312"/>
          <w:sz w:val="32"/>
          <w:szCs w:val="32"/>
        </w:rPr>
        <w:t>前</w:t>
      </w:r>
      <w:r>
        <w:rPr>
          <w:rFonts w:hint="eastAsia" w:eastAsia="仿宋_GB2312"/>
          <w:sz w:val="32"/>
          <w:szCs w:val="32"/>
        </w:rPr>
        <w:t>，</w:t>
      </w:r>
      <w:r>
        <w:rPr>
          <w:rFonts w:eastAsia="仿宋_GB2312"/>
          <w:sz w:val="32"/>
          <w:szCs w:val="32"/>
        </w:rPr>
        <w:t>将联系人信息表（附件1</w:t>
      </w:r>
      <w:r>
        <w:rPr>
          <w:rFonts w:hint="eastAsia" w:eastAsia="仿宋_GB2312"/>
          <w:sz w:val="32"/>
          <w:szCs w:val="32"/>
        </w:rPr>
        <w:t>，</w:t>
      </w:r>
      <w:r>
        <w:rPr>
          <w:rFonts w:eastAsia="仿宋_GB2312"/>
          <w:sz w:val="32"/>
          <w:szCs w:val="32"/>
        </w:rPr>
        <w:t>加盖单位公章）</w:t>
      </w:r>
      <w:r>
        <w:rPr>
          <w:rFonts w:hint="eastAsia" w:eastAsia="仿宋_GB2312"/>
          <w:sz w:val="32"/>
          <w:szCs w:val="32"/>
        </w:rPr>
        <w:t>的</w:t>
      </w:r>
      <w:r>
        <w:rPr>
          <w:rFonts w:eastAsia="仿宋_GB2312"/>
          <w:sz w:val="32"/>
          <w:szCs w:val="32"/>
        </w:rPr>
        <w:t>扫描件及word文档发</w:t>
      </w:r>
      <w:r>
        <w:rPr>
          <w:rFonts w:hint="eastAsia" w:eastAsia="仿宋_GB2312"/>
          <w:sz w:val="32"/>
          <w:szCs w:val="32"/>
        </w:rPr>
        <w:t>送</w:t>
      </w:r>
      <w:r>
        <w:rPr>
          <w:rFonts w:eastAsia="仿宋_GB2312"/>
          <w:sz w:val="32"/>
          <w:szCs w:val="32"/>
        </w:rPr>
        <w:t>至“工作网”电子信箱</w:t>
      </w:r>
      <w:r>
        <w:rPr>
          <w:rFonts w:hint="eastAsia" w:eastAsia="仿宋_GB2312"/>
          <w:sz w:val="32"/>
          <w:szCs w:val="32"/>
        </w:rPr>
        <w:t>（</w:t>
      </w:r>
      <w:r>
        <w:fldChar w:fldCharType="begin"/>
      </w:r>
      <w:r>
        <w:instrText xml:space="preserve"> HYPERLINK "mailto:zhangxq@crct.edu.cn" </w:instrText>
      </w:r>
      <w:r>
        <w:fldChar w:fldCharType="separate"/>
      </w:r>
      <w:r>
        <w:rPr>
          <w:rFonts w:eastAsia="仿宋_GB2312"/>
          <w:sz w:val="32"/>
          <w:szCs w:val="32"/>
        </w:rPr>
        <w:t>zhangxq@crct.edu.cn</w:t>
      </w:r>
      <w:r>
        <w:rPr>
          <w:rFonts w:eastAsia="仿宋_GB2312"/>
          <w:sz w:val="32"/>
          <w:szCs w:val="32"/>
        </w:rPr>
        <w:fldChar w:fldCharType="end"/>
      </w:r>
      <w:r>
        <w:rPr>
          <w:rFonts w:hint="eastAsia" w:eastAsia="仿宋_GB2312"/>
          <w:sz w:val="32"/>
          <w:szCs w:val="32"/>
        </w:rPr>
        <w:t>）以</w:t>
      </w:r>
      <w:r>
        <w:rPr>
          <w:rFonts w:eastAsia="仿宋_GB2312"/>
          <w:sz w:val="32"/>
          <w:szCs w:val="32"/>
        </w:rPr>
        <w:t>获取“工作网”系统登录账号及密码</w:t>
      </w:r>
      <w:r>
        <w:rPr>
          <w:rFonts w:hint="eastAsia" w:eastAsia="仿宋_GB2312"/>
          <w:sz w:val="32"/>
          <w:szCs w:val="32"/>
        </w:rPr>
        <w:t>，</w:t>
      </w:r>
      <w:r>
        <w:rPr>
          <w:rFonts w:eastAsia="仿宋_GB2312"/>
          <w:sz w:val="32"/>
          <w:szCs w:val="32"/>
        </w:rPr>
        <w:t>邮件主题及文件名</w:t>
      </w:r>
      <w:r>
        <w:rPr>
          <w:rFonts w:hint="eastAsia" w:eastAsia="仿宋_GB2312"/>
          <w:sz w:val="32"/>
          <w:szCs w:val="32"/>
        </w:rPr>
        <w:t>请使用</w:t>
      </w:r>
      <w:r>
        <w:rPr>
          <w:rFonts w:eastAsia="仿宋_GB2312"/>
          <w:sz w:val="32"/>
          <w:szCs w:val="32"/>
        </w:rPr>
        <w:t>单位名称。</w:t>
      </w:r>
    </w:p>
    <w:p>
      <w:pPr>
        <w:spacing w:line="560" w:lineRule="exact"/>
        <w:ind w:firstLine="640" w:firstLineChars="200"/>
        <w:rPr>
          <w:rFonts w:eastAsia="黑体"/>
          <w:sz w:val="32"/>
          <w:szCs w:val="32"/>
        </w:rPr>
      </w:pPr>
      <w:r>
        <w:rPr>
          <w:rFonts w:eastAsia="黑体"/>
          <w:sz w:val="32"/>
          <w:szCs w:val="32"/>
        </w:rPr>
        <w:t>三、在线填报要求</w:t>
      </w:r>
    </w:p>
    <w:p>
      <w:pPr>
        <w:spacing w:line="560" w:lineRule="exact"/>
        <w:ind w:firstLine="640" w:firstLineChars="200"/>
        <w:rPr>
          <w:rFonts w:eastAsia="仿宋_GB2312"/>
          <w:sz w:val="32"/>
          <w:szCs w:val="32"/>
        </w:rPr>
      </w:pPr>
      <w:r>
        <w:rPr>
          <w:rFonts w:hint="eastAsia" w:eastAsia="仿宋_GB2312"/>
          <w:sz w:val="32"/>
          <w:szCs w:val="32"/>
        </w:rPr>
        <w:t>请</w:t>
      </w:r>
      <w:r>
        <w:rPr>
          <w:rFonts w:eastAsia="仿宋_GB2312"/>
          <w:sz w:val="32"/>
          <w:szCs w:val="32"/>
        </w:rPr>
        <w:t>相关单位</w:t>
      </w:r>
      <w:r>
        <w:rPr>
          <w:rFonts w:hint="eastAsia" w:eastAsia="仿宋_GB2312"/>
          <w:sz w:val="32"/>
          <w:szCs w:val="32"/>
        </w:rPr>
        <w:t>于</w:t>
      </w:r>
      <w:r>
        <w:rPr>
          <w:rFonts w:eastAsia="仿宋_GB2312"/>
          <w:sz w:val="32"/>
          <w:szCs w:val="32"/>
        </w:rPr>
        <w:t>2019年12月20日</w:t>
      </w:r>
      <w:r>
        <w:rPr>
          <w:rFonts w:hint="eastAsia" w:eastAsia="仿宋_GB2312"/>
          <w:sz w:val="32"/>
          <w:szCs w:val="32"/>
        </w:rPr>
        <w:t>—</w:t>
      </w:r>
      <w:r>
        <w:rPr>
          <w:rFonts w:eastAsia="仿宋_GB2312"/>
          <w:sz w:val="32"/>
          <w:szCs w:val="32"/>
        </w:rPr>
        <w:t>2020年1月10日</w:t>
      </w:r>
      <w:r>
        <w:rPr>
          <w:rFonts w:hint="eastAsia" w:eastAsia="仿宋_GB2312"/>
          <w:sz w:val="32"/>
          <w:szCs w:val="32"/>
        </w:rPr>
        <w:t>期间</w:t>
      </w:r>
      <w:r>
        <w:rPr>
          <w:rFonts w:eastAsia="仿宋_GB2312"/>
          <w:sz w:val="32"/>
          <w:szCs w:val="32"/>
        </w:rPr>
        <w:t>登录“工作网”，按照系统提示</w:t>
      </w:r>
      <w:r>
        <w:rPr>
          <w:rFonts w:hint="eastAsia" w:eastAsia="仿宋_GB2312"/>
          <w:sz w:val="32"/>
          <w:szCs w:val="32"/>
        </w:rPr>
        <w:t>要求</w:t>
      </w:r>
      <w:r>
        <w:rPr>
          <w:rFonts w:eastAsia="仿宋_GB2312"/>
          <w:sz w:val="32"/>
          <w:szCs w:val="32"/>
        </w:rPr>
        <w:t>填</w:t>
      </w:r>
      <w:r>
        <w:rPr>
          <w:rFonts w:hint="eastAsia" w:eastAsia="仿宋_GB2312"/>
          <w:sz w:val="32"/>
          <w:szCs w:val="32"/>
        </w:rPr>
        <w:t>写申报材料</w:t>
      </w:r>
      <w:r>
        <w:rPr>
          <w:rFonts w:eastAsia="仿宋_GB2312"/>
          <w:sz w:val="32"/>
          <w:szCs w:val="32"/>
        </w:rPr>
        <w:t>，并完成报送信息的在线审核和提交工作。</w:t>
      </w:r>
    </w:p>
    <w:p>
      <w:pPr>
        <w:spacing w:line="560" w:lineRule="exact"/>
        <w:ind w:firstLine="640" w:firstLineChars="200"/>
        <w:rPr>
          <w:rFonts w:eastAsia="仿宋_GB2312"/>
          <w:sz w:val="32"/>
          <w:szCs w:val="32"/>
        </w:rPr>
      </w:pPr>
      <w:r>
        <w:rPr>
          <w:rFonts w:eastAsia="仿宋_GB2312"/>
          <w:sz w:val="32"/>
          <w:szCs w:val="32"/>
        </w:rPr>
        <w:t>相关单位如需通过“工作网”</w:t>
      </w:r>
      <w:r>
        <w:rPr>
          <w:rFonts w:hint="eastAsia" w:eastAsia="仿宋_GB2312"/>
          <w:sz w:val="32"/>
          <w:szCs w:val="32"/>
        </w:rPr>
        <w:t>开展</w:t>
      </w:r>
      <w:r>
        <w:rPr>
          <w:rFonts w:eastAsia="仿宋_GB2312"/>
          <w:sz w:val="32"/>
          <w:szCs w:val="32"/>
        </w:rPr>
        <w:t>申报</w:t>
      </w:r>
      <w:r>
        <w:rPr>
          <w:rFonts w:hint="eastAsia" w:eastAsia="仿宋_GB2312"/>
          <w:sz w:val="32"/>
          <w:szCs w:val="32"/>
        </w:rPr>
        <w:t>工作</w:t>
      </w:r>
      <w:r>
        <w:rPr>
          <w:rFonts w:eastAsia="仿宋_GB2312"/>
          <w:sz w:val="32"/>
          <w:szCs w:val="32"/>
        </w:rPr>
        <w:t>并</w:t>
      </w:r>
      <w:r>
        <w:rPr>
          <w:rFonts w:hint="eastAsia" w:eastAsia="仿宋_GB2312"/>
          <w:sz w:val="32"/>
          <w:szCs w:val="32"/>
        </w:rPr>
        <w:t>进行</w:t>
      </w:r>
      <w:r>
        <w:rPr>
          <w:rFonts w:eastAsia="仿宋_GB2312"/>
          <w:sz w:val="32"/>
          <w:szCs w:val="32"/>
        </w:rPr>
        <w:t>评价和推荐，可于2019年11月</w:t>
      </w:r>
      <w:r>
        <w:rPr>
          <w:rFonts w:hint="eastAsia" w:eastAsia="仿宋_GB2312"/>
          <w:sz w:val="32"/>
          <w:szCs w:val="32"/>
        </w:rPr>
        <w:t>29</w:t>
      </w:r>
      <w:r>
        <w:rPr>
          <w:rFonts w:eastAsia="仿宋_GB2312"/>
          <w:sz w:val="32"/>
          <w:szCs w:val="32"/>
        </w:rPr>
        <w:t>日前向“工作网”提出平台支持与技术服务</w:t>
      </w:r>
      <w:r>
        <w:rPr>
          <w:rFonts w:hint="eastAsia" w:eastAsia="仿宋_GB2312"/>
          <w:sz w:val="32"/>
          <w:szCs w:val="32"/>
        </w:rPr>
        <w:t>申请</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四、纸质材料报送</w:t>
      </w:r>
    </w:p>
    <w:p>
      <w:pPr>
        <w:spacing w:line="560" w:lineRule="exact"/>
        <w:ind w:firstLine="640" w:firstLineChars="200"/>
        <w:rPr>
          <w:rFonts w:eastAsia="仿宋_GB2312"/>
          <w:sz w:val="32"/>
          <w:szCs w:val="32"/>
        </w:rPr>
      </w:pPr>
      <w:r>
        <w:rPr>
          <w:rFonts w:eastAsia="仿宋_GB2312"/>
          <w:sz w:val="32"/>
          <w:szCs w:val="32"/>
        </w:rPr>
        <w:t>相关单位完成网上申报、推荐后，须</w:t>
      </w:r>
      <w:r>
        <w:rPr>
          <w:rFonts w:hint="eastAsia" w:eastAsia="仿宋_GB2312"/>
          <w:sz w:val="32"/>
          <w:szCs w:val="32"/>
        </w:rPr>
        <w:t>通过</w:t>
      </w:r>
      <w:r>
        <w:rPr>
          <w:rFonts w:eastAsia="仿宋_GB2312"/>
          <w:sz w:val="32"/>
          <w:szCs w:val="32"/>
        </w:rPr>
        <w:t>“工作网”打印具有防伪标识的申报书（附件2）</w:t>
      </w:r>
      <w:r>
        <w:rPr>
          <w:rFonts w:hint="eastAsia" w:eastAsia="仿宋_GB2312"/>
          <w:sz w:val="32"/>
          <w:szCs w:val="32"/>
        </w:rPr>
        <w:t>，</w:t>
      </w:r>
      <w:r>
        <w:rPr>
          <w:rFonts w:eastAsia="仿宋_GB2312"/>
          <w:sz w:val="32"/>
          <w:szCs w:val="32"/>
        </w:rPr>
        <w:t>与附件材料</w:t>
      </w:r>
      <w:r>
        <w:rPr>
          <w:rFonts w:hint="eastAsia" w:eastAsia="仿宋_GB2312"/>
          <w:sz w:val="32"/>
          <w:szCs w:val="32"/>
        </w:rPr>
        <w:t>一起</w:t>
      </w:r>
      <w:r>
        <w:rPr>
          <w:rFonts w:eastAsia="仿宋_GB2312"/>
          <w:sz w:val="32"/>
          <w:szCs w:val="32"/>
        </w:rPr>
        <w:t>按每门课程</w:t>
      </w:r>
      <w:r>
        <w:rPr>
          <w:rFonts w:hint="eastAsia" w:eastAsia="仿宋_GB2312"/>
          <w:sz w:val="32"/>
          <w:szCs w:val="32"/>
        </w:rPr>
        <w:t>分别</w:t>
      </w:r>
      <w:r>
        <w:rPr>
          <w:rFonts w:eastAsia="仿宋_GB2312"/>
          <w:sz w:val="32"/>
          <w:szCs w:val="32"/>
        </w:rPr>
        <w:t>装订成册，与平台生成的汇总表（附件3）一并加盖单位公章，于2020年1月1</w:t>
      </w:r>
      <w:r>
        <w:rPr>
          <w:rFonts w:hint="eastAsia" w:eastAsia="仿宋_GB2312"/>
          <w:sz w:val="32"/>
          <w:szCs w:val="32"/>
        </w:rPr>
        <w:t>0</w:t>
      </w:r>
      <w:r>
        <w:rPr>
          <w:rFonts w:eastAsia="仿宋_GB2312"/>
          <w:sz w:val="32"/>
          <w:szCs w:val="32"/>
        </w:rPr>
        <w:t>日前寄送</w:t>
      </w:r>
      <w:r>
        <w:rPr>
          <w:rFonts w:hint="eastAsia" w:eastAsia="仿宋_GB2312"/>
          <w:sz w:val="32"/>
          <w:szCs w:val="32"/>
        </w:rPr>
        <w:t>至</w:t>
      </w:r>
      <w:r>
        <w:rPr>
          <w:rFonts w:eastAsia="仿宋_GB2312"/>
          <w:sz w:val="32"/>
          <w:szCs w:val="32"/>
        </w:rPr>
        <w:t>教育部高等教育司课程教材与实验室处</w:t>
      </w:r>
      <w:r>
        <w:rPr>
          <w:rFonts w:hint="eastAsia" w:eastAsia="仿宋_GB2312"/>
          <w:sz w:val="32"/>
          <w:szCs w:val="32"/>
        </w:rPr>
        <w:t>，每份材料一式两份。</w:t>
      </w:r>
    </w:p>
    <w:p>
      <w:pPr>
        <w:spacing w:line="560" w:lineRule="exact"/>
        <w:ind w:firstLine="640" w:firstLineChars="200"/>
        <w:rPr>
          <w:rFonts w:eastAsia="仿宋_GB2312"/>
          <w:sz w:val="32"/>
          <w:szCs w:val="32"/>
        </w:rPr>
      </w:pPr>
      <w:r>
        <w:rPr>
          <w:rFonts w:eastAsia="仿宋_GB2312"/>
          <w:sz w:val="32"/>
          <w:szCs w:val="32"/>
        </w:rPr>
        <w:t>教育部直属高校的纸质材料由</w:t>
      </w:r>
      <w:r>
        <w:rPr>
          <w:rFonts w:hint="eastAsia" w:eastAsia="仿宋_GB2312"/>
          <w:sz w:val="32"/>
          <w:szCs w:val="32"/>
        </w:rPr>
        <w:t>学校</w:t>
      </w:r>
      <w:r>
        <w:rPr>
          <w:rFonts w:eastAsia="仿宋_GB2312"/>
          <w:sz w:val="32"/>
          <w:szCs w:val="32"/>
        </w:rPr>
        <w:t>审核盖章后直接报教育部</w:t>
      </w:r>
      <w:r>
        <w:rPr>
          <w:rFonts w:hint="eastAsia" w:eastAsia="仿宋_GB2312"/>
          <w:sz w:val="32"/>
          <w:szCs w:val="32"/>
        </w:rPr>
        <w:t>。</w:t>
      </w:r>
      <w:r>
        <w:rPr>
          <w:rFonts w:eastAsia="仿宋_GB2312"/>
          <w:sz w:val="32"/>
          <w:szCs w:val="32"/>
        </w:rPr>
        <w:t>其他中央部门所属高校、部省合建高校的纸质材料由其主管部门审核盖章后统一报教育部</w:t>
      </w:r>
      <w:r>
        <w:rPr>
          <w:rFonts w:hint="eastAsia" w:eastAsia="仿宋_GB2312"/>
          <w:sz w:val="32"/>
          <w:szCs w:val="32"/>
        </w:rPr>
        <w:t>。</w:t>
      </w:r>
      <w:r>
        <w:rPr>
          <w:rFonts w:eastAsia="仿宋_GB2312"/>
          <w:sz w:val="32"/>
          <w:szCs w:val="32"/>
        </w:rPr>
        <w:t>地方高校的纸质材料由省级教育行政部门审核盖章后统一报教育部。</w:t>
      </w:r>
    </w:p>
    <w:p>
      <w:pPr>
        <w:spacing w:line="560" w:lineRule="exact"/>
        <w:ind w:firstLine="640" w:firstLineChars="200"/>
        <w:rPr>
          <w:rFonts w:eastAsia="黑体"/>
          <w:sz w:val="32"/>
          <w:szCs w:val="32"/>
        </w:rPr>
      </w:pPr>
      <w:r>
        <w:rPr>
          <w:rFonts w:eastAsia="黑体"/>
          <w:sz w:val="32"/>
          <w:szCs w:val="32"/>
        </w:rPr>
        <w:t>五、申报推荐工作联系方式</w:t>
      </w:r>
    </w:p>
    <w:p>
      <w:pPr>
        <w:spacing w:line="560" w:lineRule="exact"/>
        <w:ind w:firstLine="643" w:firstLineChars="200"/>
        <w:rPr>
          <w:rFonts w:eastAsia="楷体"/>
          <w:b/>
          <w:bCs/>
          <w:sz w:val="32"/>
          <w:szCs w:val="32"/>
        </w:rPr>
      </w:pPr>
      <w:r>
        <w:rPr>
          <w:rFonts w:eastAsia="楷体"/>
          <w:b/>
          <w:bCs/>
          <w:sz w:val="32"/>
          <w:szCs w:val="32"/>
        </w:rPr>
        <w:t>（一）政策咨询及材料邮寄</w:t>
      </w:r>
    </w:p>
    <w:p>
      <w:pPr>
        <w:spacing w:line="560" w:lineRule="exact"/>
        <w:ind w:firstLine="640" w:firstLineChars="200"/>
        <w:rPr>
          <w:rFonts w:eastAsia="仿宋_GB2312"/>
          <w:sz w:val="32"/>
          <w:szCs w:val="32"/>
        </w:rPr>
      </w:pPr>
      <w:r>
        <w:rPr>
          <w:rFonts w:eastAsia="仿宋_GB2312"/>
          <w:sz w:val="32"/>
          <w:szCs w:val="32"/>
        </w:rPr>
        <w:t>教育部高等教育司课程教材与实验室处，地址：北京市西城区大木仓胡同35号，邮编：100816，联系人：成雷鸣、王繁，电话：010-66096925，电子信箱：gaojs_jxtj@moe.edu.cn。</w:t>
      </w:r>
    </w:p>
    <w:p>
      <w:pPr>
        <w:numPr>
          <w:ilvl w:val="0"/>
          <w:numId w:val="1"/>
        </w:numPr>
        <w:spacing w:line="560" w:lineRule="exact"/>
        <w:ind w:firstLine="643" w:firstLineChars="200"/>
        <w:rPr>
          <w:rFonts w:eastAsia="楷体"/>
          <w:b/>
          <w:bCs/>
          <w:sz w:val="32"/>
          <w:szCs w:val="32"/>
        </w:rPr>
      </w:pPr>
      <w:r>
        <w:rPr>
          <w:rFonts w:hint="eastAsia" w:eastAsia="楷体"/>
          <w:b/>
          <w:bCs/>
          <w:sz w:val="32"/>
          <w:szCs w:val="32"/>
        </w:rPr>
        <w:t>“</w:t>
      </w:r>
      <w:r>
        <w:rPr>
          <w:rFonts w:eastAsia="楷体"/>
          <w:b/>
          <w:bCs/>
          <w:sz w:val="32"/>
          <w:szCs w:val="32"/>
        </w:rPr>
        <w:t>工作网</w:t>
      </w:r>
      <w:r>
        <w:rPr>
          <w:rFonts w:hint="eastAsia" w:eastAsia="楷体"/>
          <w:b/>
          <w:bCs/>
          <w:sz w:val="32"/>
          <w:szCs w:val="32"/>
        </w:rPr>
        <w:t>”</w:t>
      </w:r>
      <w:r>
        <w:rPr>
          <w:rFonts w:eastAsia="楷体"/>
          <w:b/>
          <w:bCs/>
          <w:sz w:val="32"/>
          <w:szCs w:val="32"/>
        </w:rPr>
        <w:t>联系方式</w:t>
      </w:r>
    </w:p>
    <w:p>
      <w:pPr>
        <w:spacing w:line="560" w:lineRule="exact"/>
        <w:rPr>
          <w:rFonts w:eastAsia="仿宋_GB2312"/>
          <w:spacing w:val="-6"/>
          <w:sz w:val="32"/>
          <w:szCs w:val="32"/>
        </w:rPr>
      </w:pPr>
      <w:r>
        <w:rPr>
          <w:rFonts w:hint="eastAsia" w:eastAsia="仿宋_GB2312"/>
          <w:sz w:val="32"/>
          <w:szCs w:val="32"/>
        </w:rPr>
        <w:t xml:space="preserve">    </w:t>
      </w:r>
      <w:r>
        <w:rPr>
          <w:rFonts w:eastAsia="仿宋_GB2312"/>
          <w:spacing w:val="-6"/>
          <w:sz w:val="32"/>
          <w:szCs w:val="32"/>
        </w:rPr>
        <w:t>张秀芹，电话：010-58581673，电子信箱：</w:t>
      </w:r>
      <w:r>
        <w:fldChar w:fldCharType="begin"/>
      </w:r>
      <w:r>
        <w:instrText xml:space="preserve"> HYPERLINK "mailto:zhangxq@crct.edu.cn" </w:instrText>
      </w:r>
      <w:r>
        <w:fldChar w:fldCharType="separate"/>
      </w:r>
      <w:r>
        <w:rPr>
          <w:rFonts w:eastAsia="仿宋_GB2312"/>
          <w:spacing w:val="-6"/>
          <w:sz w:val="32"/>
          <w:szCs w:val="32"/>
        </w:rPr>
        <w:t>zhangxq@crct.edu.cn</w:t>
      </w:r>
      <w:r>
        <w:rPr>
          <w:rFonts w:eastAsia="仿宋_GB2312"/>
          <w:spacing w:val="-6"/>
          <w:sz w:val="32"/>
          <w:szCs w:val="32"/>
        </w:rPr>
        <w:fldChar w:fldCharType="end"/>
      </w:r>
      <w:r>
        <w:rPr>
          <w:rFonts w:eastAsia="仿宋_GB2312"/>
          <w:spacing w:val="-6"/>
          <w:sz w:val="32"/>
          <w:szCs w:val="32"/>
        </w:rPr>
        <w:t>。</w:t>
      </w:r>
    </w:p>
    <w:p>
      <w:pPr>
        <w:spacing w:line="560" w:lineRule="exact"/>
        <w:ind w:left="1918" w:leftChars="304" w:hanging="1280" w:hangingChars="400"/>
        <w:rPr>
          <w:rFonts w:eastAsia="仿宋_GB2312"/>
          <w:sz w:val="32"/>
          <w:szCs w:val="32"/>
        </w:rPr>
      </w:pPr>
    </w:p>
    <w:p>
      <w:pPr>
        <w:spacing w:line="560" w:lineRule="exact"/>
        <w:ind w:left="1918" w:leftChars="304" w:hanging="1280" w:hangingChars="400"/>
        <w:rPr>
          <w:rFonts w:eastAsia="仿宋_GB2312"/>
          <w:sz w:val="32"/>
          <w:szCs w:val="32"/>
        </w:rPr>
      </w:pPr>
      <w:r>
        <w:rPr>
          <w:rFonts w:eastAsia="仿宋_GB2312"/>
          <w:sz w:val="32"/>
          <w:szCs w:val="32"/>
        </w:rPr>
        <w:t>附件：1. 国家级一流本科课程认定工作联系人信息</w:t>
      </w:r>
      <w:r>
        <w:rPr>
          <w:rFonts w:hint="eastAsia" w:eastAsia="仿宋_GB2312"/>
          <w:sz w:val="32"/>
          <w:szCs w:val="32"/>
        </w:rPr>
        <w:t>表</w:t>
      </w:r>
      <w:r>
        <w:rPr>
          <w:rFonts w:eastAsia="仿宋_GB2312"/>
          <w:sz w:val="32"/>
          <w:szCs w:val="32"/>
        </w:rPr>
        <w:t>（2019年）</w:t>
      </w:r>
    </w:p>
    <w:p>
      <w:pPr>
        <w:spacing w:line="560" w:lineRule="exact"/>
        <w:ind w:left="1916" w:leftChars="760" w:hanging="320" w:hangingChars="100"/>
        <w:rPr>
          <w:rFonts w:eastAsia="仿宋_GB2312"/>
          <w:sz w:val="32"/>
          <w:szCs w:val="32"/>
        </w:rPr>
      </w:pPr>
      <w:r>
        <w:rPr>
          <w:rFonts w:eastAsia="仿宋_GB2312"/>
          <w:sz w:val="32"/>
          <w:szCs w:val="32"/>
        </w:rPr>
        <w:t>2. 国家级一流本科课程申报书（2019年）</w:t>
      </w:r>
    </w:p>
    <w:p>
      <w:pPr>
        <w:spacing w:line="560" w:lineRule="exact"/>
        <w:ind w:left="1916" w:leftChars="760" w:hanging="320" w:hangingChars="100"/>
        <w:rPr>
          <w:rFonts w:eastAsia="仿宋_GB2312"/>
          <w:sz w:val="32"/>
          <w:szCs w:val="32"/>
        </w:rPr>
      </w:pPr>
      <w:r>
        <w:rPr>
          <w:rFonts w:eastAsia="仿宋_GB2312"/>
          <w:sz w:val="32"/>
          <w:szCs w:val="32"/>
        </w:rPr>
        <w:t>3. 国家级一流本科课程申报推荐汇总表（2019年）</w:t>
      </w:r>
    </w:p>
    <w:p>
      <w:pPr>
        <w:spacing w:line="560" w:lineRule="exact"/>
        <w:ind w:firstLine="640" w:firstLineChars="200"/>
        <w:rPr>
          <w:rFonts w:eastAsia="仿宋_GB2312"/>
          <w:sz w:val="32"/>
          <w:szCs w:val="32"/>
        </w:rPr>
      </w:pPr>
    </w:p>
    <w:p>
      <w:pPr>
        <w:spacing w:line="560" w:lineRule="atLeast"/>
        <w:rPr>
          <w:rFonts w:ascii="仿宋_GB2312" w:eastAsia="仿宋_GB2312"/>
          <w:sz w:val="30"/>
          <w:szCs w:val="30"/>
        </w:rPr>
      </w:pPr>
    </w:p>
    <w:p>
      <w:pPr>
        <w:spacing w:after="312" w:afterLines="100" w:line="560" w:lineRule="atLeast"/>
        <w:rPr>
          <w:rFonts w:eastAsia="仿宋_GB2312"/>
          <w:sz w:val="30"/>
          <w:szCs w:val="30"/>
        </w:rPr>
      </w:pPr>
      <w:r>
        <w:rPr>
          <w:rFonts w:ascii="仿宋_GB2312" w:eastAsia="仿宋_GB2312"/>
          <w:sz w:val="30"/>
          <w:szCs w:val="30"/>
        </w:rPr>
        <mc:AlternateContent>
          <mc:Choice Requires="wps">
            <w:drawing>
              <wp:anchor distT="0" distB="0" distL="114300" distR="114300" simplePos="0" relativeHeight="251668480"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9" name="直线 1026"/>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6" o:spid="_x0000_s1026" o:spt="20" style="position:absolute;left:0pt;margin-left:287pt;margin-top:1477.9pt;height:0pt;width:442.2pt;mso-position-horizontal-relative:margin;mso-position-vertical-relative:page;mso-wrap-distance-bottom:0pt;mso-wrap-distance-top:0pt;z-index:251668480;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Dy/x42QAAAA4BAAAPAAAAAAAAAAEAIAAAACIA&#10;AABkcnMvZG93bnJldi54bWxQSwECFAAUAAAACACHTuJA4NpaKc8BAACQAwAADgAAAAAAAAABACAA&#10;AAAoAQAAZHJzL2Uyb0RvYy54bWxQSwUGAAAAAAYABgBZAQAAaQUAAAAA&#10;">
                <v:fill on="f" focussize="0,0"/>
                <v:stroke color="#000000" joinstyle="round"/>
                <v:imagedata o:title=""/>
                <o:lock v:ext="edit" aspectratio="f"/>
                <w10:wrap type="topAndBottom"/>
              </v:line>
            </w:pict>
          </mc:Fallback>
        </mc:AlternateContent>
      </w:r>
      <w:r>
        <w:rPr>
          <w:rFonts w:ascii="仿宋_GB2312" w:eastAsia="仿宋_GB2312"/>
          <w:sz w:val="30"/>
          <w:szCs w:val="30"/>
        </w:rPr>
        <mc:AlternateContent>
          <mc:Choice Requires="wps">
            <w:drawing>
              <wp:anchor distT="0" distB="0" distL="114300" distR="114300" simplePos="0" relativeHeight="251667456"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8" name="直线 1027"/>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7" o:spid="_x0000_s1026" o:spt="20" style="position:absolute;left:0pt;margin-left:287pt;margin-top:1477.9pt;height:0pt;width:442.2pt;mso-position-horizontal-relative:margin;mso-position-vertical-relative:page;mso-wrap-distance-bottom:0pt;mso-wrap-distance-top:0pt;z-index:251667456;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Dy/x42QAAAA4BAAAPAAAAAAAAAAEAIAAAACIA&#10;AABkcnMvZG93bnJldi54bWxQSwECFAAUAAAACACHTuJAIrkmOs8BAACQAwAADgAAAAAAAAABACAA&#10;AAAoAQAAZHJzL2Uyb0RvYy54bWxQSwUGAAAAAAYABgBZAQAAaQUAAAAA&#10;">
                <v:fill on="f" focussize="0,0"/>
                <v:stroke color="#000000" joinstyle="round"/>
                <v:imagedata o:title=""/>
                <o:lock v:ext="edit" aspectratio="f"/>
                <w10:wrap type="topAndBottom"/>
              </v:line>
            </w:pict>
          </mc:Fallback>
        </mc:AlternateContent>
      </w:r>
      <w:r>
        <w:rPr>
          <w:rFonts w:ascii="仿宋_GB2312" w:eastAsia="仿宋_GB2312"/>
          <w:sz w:val="30"/>
          <w:szCs w:val="30"/>
        </w:rPr>
        <mc:AlternateContent>
          <mc:Choice Requires="wps">
            <w:drawing>
              <wp:anchor distT="0" distB="0" distL="114300" distR="114300" simplePos="0" relativeHeight="251666432"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7" name="直线 1028"/>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8" o:spid="_x0000_s1026" o:spt="20" style="position:absolute;left:0pt;margin-left:287pt;margin-top:1446.7pt;height:0pt;width:442.2pt;mso-position-horizontal-relative:margin;mso-position-vertical-relative:page;mso-wrap-distance-bottom:0pt;mso-wrap-distance-top:0pt;z-index:251666432;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ZnPwvaAAAADgEAAA8AAAAAAAAAAQAgAAAA&#10;IgAAAGRycy9kb3ducmV2LnhtbFBLAQIUABQAAAAIAIdO4kB8jLDZ0AEAAJADAAAOAAAAAAAAAAEA&#10;IAAAACkBAABkcnMvZTJvRG9jLnhtbFBLBQYAAAAABgAGAFkBAABrBQAAAAA=&#10;">
                <v:fill on="f" focussize="0,0"/>
                <v:stroke color="#000000" joinstyle="round"/>
                <v:imagedata o:title=""/>
                <o:lock v:ext="edit" aspectratio="f"/>
                <w10:wrap type="topAndBottom"/>
              </v:line>
            </w:pict>
          </mc:Fallback>
        </mc:AlternateContent>
      </w:r>
      <w:r>
        <w:rPr>
          <w:rFonts w:ascii="仿宋_GB2312" w:eastAsia="仿宋_GB2312"/>
          <w:sz w:val="30"/>
          <w:szCs w:val="30"/>
        </w:rPr>
        <mc:AlternateContent>
          <mc:Choice Requires="wps">
            <w:drawing>
              <wp:anchor distT="0" distB="0" distL="114300" distR="114300" simplePos="0" relativeHeight="251672576"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12" name="直线 1029"/>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9" o:spid="_x0000_s1026" o:spt="20" style="position:absolute;left:0pt;margin-left:287pt;margin-top:1477.9pt;height:0pt;width:442.2pt;mso-position-horizontal-relative:margin;mso-position-vertical-relative:page;mso-wrap-distance-bottom:0pt;mso-wrap-distance-top:0pt;z-index:251672576;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8v8eNkAAAAOAQAADwAAAAAAAAABACAAAAAi&#10;AAAAZHJzL2Rvd25yZXYueG1sUEsBAhQAFAAAAAgAh07iQFSU0xXQAQAAkQMAAA4AAAAAAAAAAQAg&#10;AAAAKAEAAGRycy9lMm9Eb2MueG1sUEsFBgAAAAAGAAYAWQEAAGoFAAAAAA==&#10;">
                <v:fill on="f" focussize="0,0"/>
                <v:stroke color="#000000" joinstyle="round"/>
                <v:imagedata o:title=""/>
                <o:lock v:ext="edit" aspectratio="f"/>
                <w10:wrap type="topAndBottom"/>
              </v:line>
            </w:pict>
          </mc:Fallback>
        </mc:AlternateContent>
      </w:r>
      <w:r>
        <w:rPr>
          <w:rFonts w:ascii="仿宋_GB2312" w:eastAsia="仿宋_GB2312"/>
          <w:sz w:val="30"/>
          <w:szCs w:val="30"/>
        </w:rPr>
        <mc:AlternateContent>
          <mc:Choice Requires="wps">
            <w:drawing>
              <wp:anchor distT="0" distB="0" distL="114300" distR="114300" simplePos="0" relativeHeight="251671552"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11" name="直线 1030"/>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0" o:spid="_x0000_s1026" o:spt="20" style="position:absolute;left:0pt;margin-left:287pt;margin-top:1477.9pt;height:0pt;width:442.2pt;mso-position-horizontal-relative:margin;mso-position-vertical-relative:page;mso-wrap-distance-bottom:0pt;mso-wrap-distance-top:0pt;z-index:251671552;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PL/HjZAAAADgEAAA8AAAAAAAAAAQAgAAAAIgAA&#10;AGRycy9kb3ducmV2LnhtbFBLAQIUABQAAAAIAIdO4kBk3E9EzgEAAJEDAAAOAAAAAAAAAAEAIAAA&#10;ACgBAABkcnMvZTJvRG9jLnhtbFBLBQYAAAAABgAGAFkBAABoBQAAAAA=&#10;">
                <v:fill on="f" focussize="0,0"/>
                <v:stroke color="#000000" joinstyle="round"/>
                <v:imagedata o:title=""/>
                <o:lock v:ext="edit" aspectratio="f"/>
                <w10:wrap type="topAndBottom"/>
              </v:line>
            </w:pict>
          </mc:Fallback>
        </mc:AlternateContent>
      </w:r>
      <w:r>
        <w:rPr>
          <w:rFonts w:ascii="仿宋_GB2312" w:eastAsia="仿宋_GB2312"/>
          <w:sz w:val="30"/>
          <w:szCs w:val="30"/>
        </w:rPr>
        <mc:AlternateContent>
          <mc:Choice Requires="wps">
            <w:drawing>
              <wp:anchor distT="0" distB="0" distL="114300" distR="114300" simplePos="0" relativeHeight="251670528"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10" name="直线 1031"/>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1" o:spid="_x0000_s1026" o:spt="20" style="position:absolute;left:0pt;margin-left:287pt;margin-top:1446.7pt;height:0pt;width:442.2pt;mso-position-horizontal-relative:margin;mso-position-vertical-relative:page;mso-wrap-distance-bottom:0pt;mso-wrap-distance-top:0pt;z-index:251670528;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mc/C9oAAAAOAQAADwAAAAAAAAABACAAAAAi&#10;AAAAZHJzL2Rvd25yZXYueG1sUEsBAhQAFAAAAAgAh07iQKa/M1fPAQAAkQMAAA4AAAAAAAAAAQAg&#10;AAAAKQEAAGRycy9lMm9Eb2MueG1sUEsFBgAAAAAGAAYAWQEAAGoFAAAAAA==&#10;">
                <v:fill on="f" focussize="0,0"/>
                <v:stroke color="#000000" joinstyle="round"/>
                <v:imagedata o:title=""/>
                <o:lock v:ext="edit" aspectratio="f"/>
                <w10:wrap type="topAndBottom"/>
              </v:line>
            </w:pict>
          </mc:Fallback>
        </mc:AlternateContent>
      </w:r>
    </w:p>
    <w:p>
      <w:pPr>
        <w:spacing w:line="560" w:lineRule="atLeast"/>
        <w:ind w:firstLine="5100" w:firstLineChars="1700"/>
        <w:rPr>
          <w:rFonts w:eastAsia="仿宋_GB2312"/>
          <w:sz w:val="30"/>
          <w:szCs w:val="30"/>
        </w:rPr>
      </w:pPr>
      <w:r>
        <w:rPr>
          <w:rFonts w:eastAsia="仿宋_GB2312"/>
          <w:sz w:val="30"/>
          <w:szCs w:val="30"/>
        </w:rPr>
        <w:t>教育部办公厅</w:t>
      </w:r>
    </w:p>
    <w:p>
      <w:pPr>
        <w:spacing w:line="560" w:lineRule="atLeast"/>
        <w:ind w:firstLine="4950" w:firstLineChars="1650"/>
        <w:rPr>
          <w:rFonts w:ascii="仿宋_GB2312" w:eastAsia="仿宋_GB2312"/>
          <w:sz w:val="30"/>
          <w:szCs w:val="30"/>
        </w:rPr>
      </w:pPr>
      <w:r>
        <w:rPr>
          <w:rFonts w:eastAsia="仿宋_GB2312"/>
          <w:sz w:val="30"/>
          <w:szCs w:val="30"/>
        </w:rPr>
        <w:t>201</w:t>
      </w:r>
      <w:r>
        <w:rPr>
          <w:rFonts w:hint="eastAsia" w:eastAsia="仿宋_GB2312"/>
          <w:sz w:val="30"/>
          <w:szCs w:val="30"/>
        </w:rPr>
        <w:t>9</w:t>
      </w:r>
      <w:r>
        <w:rPr>
          <w:rFonts w:eastAsia="仿宋_GB2312"/>
          <w:sz w:val="30"/>
          <w:szCs w:val="30"/>
        </w:rPr>
        <w:t>年</w:t>
      </w:r>
      <w:r>
        <w:rPr>
          <w:rFonts w:hint="eastAsia" w:eastAsia="仿宋_GB2312"/>
          <w:sz w:val="30"/>
          <w:szCs w:val="30"/>
        </w:rPr>
        <w:t>11</w:t>
      </w:r>
      <w:r>
        <w:rPr>
          <w:rFonts w:eastAsia="仿宋_GB2312"/>
          <w:sz w:val="30"/>
          <w:szCs w:val="30"/>
        </w:rPr>
        <w:t>月</w:t>
      </w:r>
      <w:r>
        <w:rPr>
          <w:rFonts w:hint="eastAsia" w:eastAsia="仿宋_GB2312"/>
          <w:sz w:val="30"/>
          <w:szCs w:val="30"/>
        </w:rPr>
        <w:t>18</w:t>
      </w:r>
      <w:r>
        <w:rPr>
          <w:rFonts w:eastAsia="仿宋_GB2312"/>
          <w:sz w:val="30"/>
          <w:szCs w:val="30"/>
        </w:rPr>
        <w:t xml:space="preserve">日  </w:t>
      </w:r>
    </w:p>
    <w:p>
      <w:pPr>
        <w:spacing w:line="560" w:lineRule="atLeast"/>
        <w:rPr>
          <w:rFonts w:ascii="仿宋_GB2312" w:eastAsia="仿宋_GB2312"/>
          <w:sz w:val="30"/>
          <w:szCs w:val="30"/>
        </w:rPr>
        <w:sectPr>
          <w:footerReference r:id="rId3" w:type="default"/>
          <w:pgSz w:w="11906" w:h="16838"/>
          <w:pgMar w:top="1814" w:right="1531" w:bottom="1814" w:left="1531" w:header="851" w:footer="1673" w:gutter="0"/>
          <w:pgNumType w:fmt="decimal"/>
          <w:cols w:space="425" w:num="1"/>
          <w:docGrid w:type="lines" w:linePitch="312" w:charSpace="0"/>
        </w:sect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国家</w:t>
      </w:r>
      <w:r>
        <w:rPr>
          <w:rFonts w:ascii="方正小标宋简体" w:hAnsi="方正小标宋_GBK" w:eastAsia="方正小标宋简体"/>
          <w:kern w:val="0"/>
          <w:sz w:val="44"/>
          <w:szCs w:val="44"/>
        </w:rPr>
        <w:t>级</w:t>
      </w:r>
      <w:r>
        <w:rPr>
          <w:rFonts w:hint="eastAsia" w:ascii="方正小标宋简体" w:hAnsi="方正小标宋_GBK" w:eastAsia="方正小标宋简体"/>
          <w:kern w:val="0"/>
          <w:sz w:val="44"/>
          <w:szCs w:val="44"/>
        </w:rPr>
        <w:t>一流本科课程申报书</w:t>
      </w:r>
    </w:p>
    <w:p>
      <w:pPr>
        <w:spacing w:line="520" w:lineRule="exact"/>
        <w:ind w:right="26"/>
        <w:jc w:val="center"/>
        <w:rPr>
          <w:rFonts w:ascii="方正小标宋简体" w:hAnsi="黑体" w:eastAsia="方正小标宋简体"/>
          <w:sz w:val="32"/>
          <w:szCs w:val="32"/>
        </w:rPr>
      </w:pPr>
      <w:r>
        <w:rPr>
          <w:rFonts w:hint="eastAsia" w:ascii="方正小标宋简体" w:hAnsi="方正小标宋_GBK" w:eastAsia="方正小标宋简体"/>
          <w:kern w:val="0"/>
          <w:sz w:val="40"/>
          <w:szCs w:val="40"/>
        </w:rPr>
        <w:t>（2019年）</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专业类代码：</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授课教师（课程负责人）：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pPr>
      <w:r>
        <w:rPr>
          <w:rFonts w:hint="eastAsia" w:ascii="黑体" w:hAnsi="黑体" w:eastAsia="黑体"/>
          <w:sz w:val="32"/>
          <w:szCs w:val="36"/>
        </w:rPr>
        <w:t>申报类型： ○</w:t>
      </w:r>
      <w:r>
        <w:rPr>
          <w:rFonts w:hint="eastAsia" w:ascii="宋体" w:hAnsi="宋体"/>
          <w:sz w:val="28"/>
          <w:szCs w:val="28"/>
        </w:rPr>
        <w:t>线下一流课程</w:t>
      </w:r>
    </w:p>
    <w:p>
      <w:pPr>
        <w:spacing w:line="600" w:lineRule="exact"/>
        <w:ind w:right="28"/>
        <w:rPr>
          <w:rFonts w:ascii="仿宋_GB2312" w:eastAsia="仿宋_GB2312"/>
          <w:sz w:val="32"/>
          <w:szCs w:val="32"/>
        </w:rPr>
      </w:pPr>
      <w:r>
        <w:rPr>
          <w:rFonts w:hint="eastAsia" w:ascii="黑体" w:hAnsi="黑体" w:eastAsia="黑体"/>
          <w:sz w:val="32"/>
          <w:szCs w:val="36"/>
        </w:rPr>
        <w:t xml:space="preserve">                   ○</w:t>
      </w:r>
      <w:r>
        <w:rPr>
          <w:rFonts w:hint="eastAsia" w:ascii="宋体" w:hAnsi="宋体"/>
          <w:sz w:val="28"/>
          <w:szCs w:val="28"/>
        </w:rPr>
        <w:t>线上线下混合式一流课程</w:t>
      </w:r>
    </w:p>
    <w:p>
      <w:pPr>
        <w:spacing w:line="600" w:lineRule="exact"/>
        <w:ind w:right="28"/>
        <w:rPr>
          <w:rFonts w:ascii="仿宋_GB2312" w:hAnsi="黑体" w:eastAsia="仿宋_GB2312"/>
          <w:sz w:val="32"/>
          <w:szCs w:val="36"/>
          <w:u w:val="single"/>
        </w:rPr>
      </w:pPr>
      <w:r>
        <w:rPr>
          <w:rFonts w:hint="eastAsia" w:ascii="黑体" w:hAnsi="黑体" w:eastAsia="黑体"/>
          <w:sz w:val="32"/>
          <w:szCs w:val="36"/>
        </w:rPr>
        <w:t xml:space="preserve">                   ○</w:t>
      </w:r>
      <w:r>
        <w:rPr>
          <w:rFonts w:hint="eastAsia" w:ascii="宋体" w:hAnsi="宋体"/>
          <w:sz w:val="28"/>
          <w:szCs w:val="28"/>
        </w:rPr>
        <w:t>社会实践一流课程</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申报学校：</w:t>
      </w:r>
    </w:p>
    <w:p>
      <w:pPr>
        <w:spacing w:line="600" w:lineRule="exact"/>
        <w:ind w:right="28" w:firstLine="1280" w:firstLineChars="400"/>
        <w:rPr>
          <w:rFonts w:ascii="黑体" w:hAnsi="黑体" w:eastAsia="黑体"/>
          <w:sz w:val="32"/>
          <w:szCs w:val="36"/>
          <w:u w:val="single"/>
        </w:rPr>
      </w:pPr>
      <w:r>
        <w:rPr>
          <w:rFonts w:ascii="黑体" w:hAnsi="黑体" w:eastAsia="黑体"/>
          <w:sz w:val="32"/>
          <w:szCs w:val="36"/>
        </w:rPr>
        <w:t>推荐单位</w:t>
      </w:r>
      <w:r>
        <w:rPr>
          <w:rFonts w:hint="eastAsia" w:ascii="黑体" w:hAnsi="黑体" w:eastAsia="黑体"/>
          <w:sz w:val="32"/>
          <w:szCs w:val="36"/>
        </w:rPr>
        <w:t xml:space="preserve">： </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ind w:firstLine="539"/>
        <w:jc w:val="center"/>
        <w:rPr>
          <w:sz w:val="32"/>
          <w:szCs w:val="32"/>
        </w:rPr>
      </w:pPr>
      <w:r>
        <w:rPr>
          <w:rFonts w:ascii="黑体" w:hAnsi="黑体" w:eastAsia="黑体"/>
          <w:sz w:val="32"/>
          <w:szCs w:val="32"/>
        </w:rPr>
        <w:t>二○一</w:t>
      </w:r>
      <w:r>
        <w:rPr>
          <w:rFonts w:hint="eastAsia" w:ascii="黑体" w:hAnsi="黑体" w:eastAsia="黑体"/>
          <w:sz w:val="32"/>
          <w:szCs w:val="32"/>
        </w:rPr>
        <w:t>九</w:t>
      </w:r>
      <w:r>
        <w:rPr>
          <w:rFonts w:ascii="黑体" w:hAnsi="黑体" w:eastAsia="黑体"/>
          <w:sz w:val="32"/>
          <w:szCs w:val="32"/>
        </w:rPr>
        <w:t>年</w:t>
      </w:r>
      <w:r>
        <w:rPr>
          <w:rFonts w:hint="eastAsia" w:ascii="黑体" w:hAnsi="黑体" w:eastAsia="黑体"/>
          <w:sz w:val="32"/>
          <w:szCs w:val="32"/>
        </w:rPr>
        <w:t>十一</w:t>
      </w:r>
      <w:r>
        <w:rPr>
          <w:rFonts w:ascii="黑体" w:hAnsi="黑体" w:eastAsia="黑体"/>
          <w:sz w:val="32"/>
          <w:szCs w:val="32"/>
        </w:rPr>
        <w:t>月</w:t>
      </w:r>
    </w:p>
    <w:p/>
    <w:p>
      <w:pPr>
        <w:widowControl/>
        <w:jc w:val="center"/>
      </w:pPr>
    </w:p>
    <w:p>
      <w:pPr>
        <w:widowControl/>
        <w:jc w:val="center"/>
        <w:rPr>
          <w:rFonts w:hint="eastAsia" w:ascii="方正小标宋简体" w:eastAsia="方正小标宋简体"/>
          <w:sz w:val="36"/>
          <w:szCs w:val="36"/>
        </w:r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jc w:val="center"/>
        <w:rPr>
          <w:rFonts w:ascii="方正小标宋简体" w:eastAsia="方正小标宋简体"/>
          <w:sz w:val="32"/>
          <w:szCs w:val="32"/>
        </w:rPr>
      </w:pPr>
    </w:p>
    <w:p>
      <w:pPr>
        <w:widowControl/>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每门课程根据已开设两学期的实际情况，只能从“线下一流课程”“线上线下混合式一流课程”“社会实践一流课程”中选择一类进行申报。</w:t>
      </w:r>
    </w:p>
    <w:p>
      <w:pPr>
        <w:widowControl/>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申报课程名称、授课教师（含课程负责人）须与教务系统中已完成的学期一致</w:t>
      </w:r>
      <w:r>
        <w:rPr>
          <w:rFonts w:ascii="仿宋" w:hAnsi="仿宋" w:eastAsia="仿宋"/>
          <w:sz w:val="32"/>
          <w:szCs w:val="32"/>
        </w:rPr>
        <w:t>，</w:t>
      </w:r>
      <w:r>
        <w:rPr>
          <w:rFonts w:hint="eastAsia" w:ascii="仿宋" w:hAnsi="仿宋" w:eastAsia="仿宋"/>
          <w:sz w:val="32"/>
          <w:szCs w:val="32"/>
        </w:rPr>
        <w:t>并须截图上传教务系统中课程开设信息。</w:t>
      </w:r>
    </w:p>
    <w:p>
      <w:pPr>
        <w:widowControl/>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相同授课教师、不同选课编码的同一名称课程，若教学设计和教学实施方案相同，教学效果相近，可以合并申报。</w:t>
      </w:r>
    </w:p>
    <w:p>
      <w:pPr>
        <w:widowControl/>
        <w:ind w:firstLine="640" w:firstLineChars="200"/>
        <w:rPr>
          <w:rFonts w:eastAsia="仿宋_GB2312"/>
          <w:sz w:val="32"/>
          <w:szCs w:val="32"/>
        </w:rPr>
      </w:pPr>
      <w:r>
        <w:rPr>
          <w:rFonts w:ascii="仿宋" w:hAnsi="仿宋" w:eastAsia="仿宋"/>
          <w:sz w:val="32"/>
          <w:szCs w:val="32"/>
        </w:rPr>
        <w:t>4.</w:t>
      </w:r>
      <w:r>
        <w:rPr>
          <w:rFonts w:eastAsia="仿宋_GB2312"/>
          <w:sz w:val="32"/>
          <w:szCs w:val="32"/>
        </w:rPr>
        <w:t>专业类代码指《普通高等学校本科专业目录（2012）》中的代码。没有对应学科专业的课程，填写“0000”。</w:t>
      </w:r>
    </w:p>
    <w:p>
      <w:pPr>
        <w:widowControl/>
        <w:ind w:firstLine="640" w:firstLineChars="200"/>
        <w:rPr>
          <w:rFonts w:ascii="仿宋" w:hAnsi="仿宋" w:eastAsia="仿宋"/>
          <w:sz w:val="32"/>
          <w:szCs w:val="32"/>
        </w:rPr>
      </w:pPr>
      <w:r>
        <w:rPr>
          <w:rFonts w:ascii="仿宋" w:hAnsi="仿宋" w:eastAsia="仿宋"/>
          <w:sz w:val="32"/>
          <w:szCs w:val="32"/>
        </w:rPr>
        <w:t>5.</w:t>
      </w:r>
      <w:r>
        <w:rPr>
          <w:rFonts w:eastAsia="仿宋_GB2312"/>
          <w:sz w:val="32"/>
          <w:szCs w:val="32"/>
        </w:rPr>
        <w:t>申报书与附件材料一并按每门课程单独装订成册，一式两份。</w:t>
      </w: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pStyle w:val="10"/>
        <w:widowControl/>
        <w:ind w:left="360" w:firstLine="0" w:firstLineChars="0"/>
        <w:rPr>
          <w:rFonts w:ascii="仿宋" w:hAnsi="仿宋" w:eastAsia="仿宋"/>
          <w:sz w:val="32"/>
          <w:szCs w:val="32"/>
        </w:rPr>
      </w:pPr>
    </w:p>
    <w:p>
      <w:pPr>
        <w:numPr>
          <w:ilvl w:val="0"/>
          <w:numId w:val="2"/>
        </w:numPr>
        <w:rPr>
          <w:rFonts w:ascii="黑体" w:hAnsi="黑体" w:eastAsia="黑体"/>
          <w:sz w:val="24"/>
        </w:rPr>
      </w:pPr>
      <w:r>
        <w:rPr>
          <w:rFonts w:hint="eastAsia" w:ascii="黑体" w:hAnsi="黑体" w:eastAsia="黑体"/>
          <w:sz w:val="24"/>
        </w:rPr>
        <w:t>课程基本信息</w:t>
      </w:r>
    </w:p>
    <w:p>
      <w:pPr>
        <w:rPr>
          <w:rFonts w:ascii="楷体" w:hAnsi="楷体" w:eastAsia="楷体"/>
          <w:b/>
          <w:sz w:val="24"/>
        </w:rPr>
      </w:pPr>
      <w:r>
        <w:rPr>
          <w:rFonts w:hint="eastAsia" w:ascii="楷体" w:hAnsi="楷体" w:eastAsia="楷体"/>
          <w:b/>
          <w:sz w:val="24"/>
        </w:rPr>
        <w:t>（一）线下一流课程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464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课程编码+选课编码</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（教务系统中的编码）</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课程类型</w:t>
            </w:r>
          </w:p>
        </w:tc>
        <w:tc>
          <w:tcPr>
            <w:tcW w:w="4647" w:type="dxa"/>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○文化素质课  ○公共基础课  ○专业课</w:t>
            </w:r>
          </w:p>
        </w:tc>
        <w:tc>
          <w:tcPr>
            <w:tcW w:w="1258" w:type="dxa"/>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课程性质</w:t>
            </w:r>
          </w:p>
        </w:tc>
        <w:tc>
          <w:tcPr>
            <w:tcW w:w="5905" w:type="dxa"/>
            <w:gridSpan w:val="2"/>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开课年级</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面向专业</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时</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分</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先修（前序）课程名称</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后续课程名称</w:t>
            </w:r>
          </w:p>
        </w:tc>
        <w:tc>
          <w:tcPr>
            <w:tcW w:w="5905"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主要教材</w:t>
            </w:r>
          </w:p>
        </w:tc>
        <w:tc>
          <w:tcPr>
            <w:tcW w:w="5905"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书名、书号、作者、出版社、出版时间（上传封面及版权页）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最近两期开课时间</w:t>
            </w:r>
          </w:p>
        </w:tc>
        <w:tc>
          <w:tcPr>
            <w:tcW w:w="5905" w:type="dxa"/>
            <w:gridSpan w:val="2"/>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rPr>
                <w:rFonts w:ascii="仿宋_GB2312" w:hAnsi="仿宋_GB2312" w:eastAsia="仿宋_GB2312" w:cs="仿宋_GB2312"/>
                <w:sz w:val="24"/>
              </w:rPr>
            </w:pPr>
          </w:p>
        </w:tc>
        <w:tc>
          <w:tcPr>
            <w:tcW w:w="5905" w:type="dxa"/>
            <w:gridSpan w:val="2"/>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最近两期学生总人数</w:t>
            </w:r>
          </w:p>
        </w:tc>
        <w:tc>
          <w:tcPr>
            <w:tcW w:w="5905" w:type="dxa"/>
            <w:gridSpan w:val="2"/>
          </w:tcPr>
          <w:p>
            <w:pPr>
              <w:spacing w:line="340" w:lineRule="exact"/>
              <w:rPr>
                <w:rFonts w:ascii="仿宋_GB2312" w:hAnsi="仿宋_GB2312" w:eastAsia="仿宋_GB2312" w:cs="仿宋_GB2312"/>
                <w:sz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spacing w:line="360" w:lineRule="exact"/>
        <w:rPr>
          <w:rFonts w:ascii="楷体" w:hAnsi="楷体" w:eastAsia="楷体" w:cs="楷体"/>
          <w:b/>
          <w:bCs/>
          <w:sz w:val="24"/>
        </w:rPr>
      </w:pPr>
      <w:r>
        <w:rPr>
          <w:rFonts w:hint="eastAsia" w:ascii="楷体" w:hAnsi="楷体" w:eastAsia="楷体" w:cs="楷体"/>
          <w:b/>
          <w:bCs/>
          <w:sz w:val="24"/>
        </w:rPr>
        <w:t>（二）线上线下混合式一流课程</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467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课程编码</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（教务系统中的编码）</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课程类型</w:t>
            </w:r>
          </w:p>
        </w:tc>
        <w:tc>
          <w:tcPr>
            <w:tcW w:w="4673" w:type="dxa"/>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○文化素质课  ○公共基础课  ○专业课</w:t>
            </w:r>
          </w:p>
        </w:tc>
        <w:tc>
          <w:tcPr>
            <w:tcW w:w="1223" w:type="dxa"/>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课程性质</w:t>
            </w:r>
          </w:p>
        </w:tc>
        <w:tc>
          <w:tcPr>
            <w:tcW w:w="5896" w:type="dxa"/>
            <w:gridSpan w:val="2"/>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开课年级</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面向专业</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时</w:t>
            </w:r>
          </w:p>
        </w:tc>
        <w:tc>
          <w:tcPr>
            <w:tcW w:w="5896"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总学时：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线上学时：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分</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先修（前序）课程名称</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后续课程名称</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主要教材</w:t>
            </w:r>
          </w:p>
        </w:tc>
        <w:tc>
          <w:tcPr>
            <w:tcW w:w="5896"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书名、书号、作者、出版社、出版时间（上传封面及版权页）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Merge w:val="restart"/>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最近两期开课时间</w:t>
            </w:r>
          </w:p>
        </w:tc>
        <w:tc>
          <w:tcPr>
            <w:tcW w:w="5896" w:type="dxa"/>
            <w:gridSpan w:val="2"/>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Merge w:val="continue"/>
            <w:vAlign w:val="center"/>
          </w:tcPr>
          <w:p>
            <w:pPr>
              <w:spacing w:line="340" w:lineRule="exact"/>
              <w:jc w:val="center"/>
              <w:rPr>
                <w:rFonts w:ascii="仿宋_GB2312" w:hAnsi="仿宋_GB2312" w:eastAsia="仿宋_GB2312" w:cs="仿宋_GB2312"/>
                <w:sz w:val="24"/>
              </w:rPr>
            </w:pPr>
          </w:p>
        </w:tc>
        <w:tc>
          <w:tcPr>
            <w:tcW w:w="5896" w:type="dxa"/>
            <w:gridSpan w:val="2"/>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624"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最近两期学生总人数</w:t>
            </w:r>
          </w:p>
        </w:tc>
        <w:tc>
          <w:tcPr>
            <w:tcW w:w="5896" w:type="dxa"/>
            <w:gridSpan w:val="2"/>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2624" w:type="dxa"/>
            <w:vMerge w:val="restart"/>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使用的在线课程</w:t>
            </w:r>
          </w:p>
        </w:tc>
        <w:tc>
          <w:tcPr>
            <w:tcW w:w="5896"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○国家精品在线开放课程及名称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○国家虚拟仿真实验教学一流课程及名称</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○否 （填写课程名称、学校、负责人、网址）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624" w:type="dxa"/>
            <w:vMerge w:val="continue"/>
          </w:tcPr>
          <w:p>
            <w:pPr>
              <w:spacing w:line="340" w:lineRule="exact"/>
              <w:rPr>
                <w:rFonts w:ascii="仿宋_GB2312" w:hAnsi="仿宋_GB2312" w:eastAsia="仿宋_GB2312" w:cs="仿宋_GB2312"/>
                <w:sz w:val="24"/>
              </w:rPr>
            </w:pPr>
          </w:p>
        </w:tc>
        <w:tc>
          <w:tcPr>
            <w:tcW w:w="5896" w:type="dxa"/>
            <w:gridSpan w:val="2"/>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使用方式：  ○</w:t>
            </w:r>
            <w:r>
              <w:rPr>
                <w:rFonts w:eastAsia="仿宋_GB2312"/>
                <w:sz w:val="24"/>
              </w:rPr>
              <w:t xml:space="preserve">MOOC  </w:t>
            </w:r>
            <w:r>
              <w:rPr>
                <w:rFonts w:hint="eastAsia" w:ascii="仿宋_GB2312" w:hAnsi="仿宋_GB2312" w:eastAsia="仿宋_GB2312" w:cs="仿宋_GB2312"/>
                <w:sz w:val="24"/>
              </w:rPr>
              <w:t>○</w:t>
            </w:r>
            <w:r>
              <w:rPr>
                <w:rFonts w:eastAsia="仿宋_GB2312"/>
                <w:sz w:val="24"/>
              </w:rPr>
              <w:t>SPOC</w:t>
            </w: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spacing w:line="360" w:lineRule="exact"/>
        <w:rPr>
          <w:rFonts w:ascii="楷体" w:hAnsi="楷体" w:eastAsia="楷体" w:cs="楷体"/>
          <w:b/>
          <w:bCs/>
          <w:sz w:val="24"/>
        </w:rPr>
      </w:pPr>
      <w:r>
        <w:rPr>
          <w:rFonts w:hint="eastAsia" w:ascii="楷体" w:hAnsi="楷体" w:eastAsia="楷体" w:cs="楷体"/>
          <w:b/>
          <w:bCs/>
          <w:sz w:val="24"/>
        </w:rPr>
        <w:t>（三）社会实践一流课程</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5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课程名称</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课程编码</w:t>
            </w:r>
          </w:p>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（教务系统中的编码）</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课程类别</w:t>
            </w:r>
          </w:p>
        </w:tc>
        <w:tc>
          <w:tcPr>
            <w:tcW w:w="5530"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○创新创业类    ○思想政治理论课类</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○专业类        ○其他（填写）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课程性质</w:t>
            </w:r>
          </w:p>
        </w:tc>
        <w:tc>
          <w:tcPr>
            <w:tcW w:w="5530"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开课年级</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面向专业</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实践基地</w:t>
            </w:r>
          </w:p>
        </w:tc>
        <w:tc>
          <w:tcPr>
            <w:tcW w:w="5530"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名称及所在地：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时</w:t>
            </w:r>
          </w:p>
        </w:tc>
        <w:tc>
          <w:tcPr>
            <w:tcW w:w="5530" w:type="dxa"/>
            <w:vAlign w:val="center"/>
          </w:tcPr>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总学时：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 xml:space="preserve">理论课学时：        </w:t>
            </w:r>
          </w:p>
          <w:p>
            <w:pPr>
              <w:spacing w:line="340" w:lineRule="exact"/>
              <w:rPr>
                <w:rFonts w:ascii="仿宋_GB2312" w:hAnsi="仿宋_GB2312" w:eastAsia="仿宋_GB2312" w:cs="仿宋_GB2312"/>
                <w:sz w:val="24"/>
              </w:rPr>
            </w:pPr>
            <w:r>
              <w:rPr>
                <w:rFonts w:hint="eastAsia" w:ascii="仿宋_GB2312" w:hAnsi="仿宋_GB2312" w:eastAsia="仿宋_GB2312" w:cs="仿宋_GB2312"/>
                <w:sz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学    分</w:t>
            </w:r>
          </w:p>
        </w:tc>
        <w:tc>
          <w:tcPr>
            <w:tcW w:w="5530" w:type="dxa"/>
            <w:vAlign w:val="center"/>
          </w:tcPr>
          <w:p>
            <w:pPr>
              <w:spacing w:line="34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2" w:type="dxa"/>
            <w:vMerge w:val="restart"/>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最近两期开课时间</w:t>
            </w:r>
          </w:p>
        </w:tc>
        <w:tc>
          <w:tcPr>
            <w:tcW w:w="5530"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992" w:type="dxa"/>
            <w:vMerge w:val="continue"/>
            <w:vAlign w:val="center"/>
          </w:tcPr>
          <w:p>
            <w:pPr>
              <w:spacing w:line="340" w:lineRule="exact"/>
              <w:jc w:val="center"/>
              <w:rPr>
                <w:rFonts w:ascii="仿宋_GB2312" w:hAnsi="仿宋_GB2312" w:eastAsia="仿宋_GB2312" w:cs="仿宋_GB2312"/>
                <w:sz w:val="24"/>
              </w:rPr>
            </w:pPr>
          </w:p>
        </w:tc>
        <w:tc>
          <w:tcPr>
            <w:tcW w:w="5530"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992" w:type="dxa"/>
            <w:vAlign w:val="center"/>
          </w:tcPr>
          <w:p>
            <w:pPr>
              <w:spacing w:line="340" w:lineRule="exact"/>
              <w:jc w:val="center"/>
              <w:rPr>
                <w:rFonts w:ascii="仿宋_GB2312" w:hAnsi="仿宋_GB2312" w:eastAsia="仿宋_GB2312" w:cs="仿宋_GB2312"/>
                <w:sz w:val="24"/>
              </w:rPr>
            </w:pPr>
            <w:r>
              <w:rPr>
                <w:rFonts w:hint="eastAsia" w:ascii="仿宋_GB2312" w:hAnsi="仿宋_GB2312" w:eastAsia="仿宋_GB2312" w:cs="仿宋_GB2312"/>
                <w:sz w:val="24"/>
              </w:rPr>
              <w:t>最近两期学生总人数</w:t>
            </w:r>
          </w:p>
        </w:tc>
        <w:tc>
          <w:tcPr>
            <w:tcW w:w="5530" w:type="dxa"/>
            <w:vAlign w:val="center"/>
          </w:tcPr>
          <w:p>
            <w:pPr>
              <w:spacing w:line="340" w:lineRule="exact"/>
              <w:rPr>
                <w:rFonts w:ascii="仿宋_GB2312" w:hAnsi="仿宋_GB2312" w:eastAsia="仿宋_GB2312" w:cs="仿宋_GB2312"/>
                <w:sz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rPr>
          <w:rFonts w:ascii="黑体" w:hAnsi="黑体" w:eastAsia="黑体"/>
          <w:sz w:val="24"/>
        </w:rPr>
      </w:pPr>
    </w:p>
    <w:p>
      <w:pPr>
        <w:numPr>
          <w:ilvl w:val="0"/>
          <w:numId w:val="2"/>
        </w:numPr>
        <w:rPr>
          <w:rFonts w:ascii="黑体" w:hAnsi="黑体" w:eastAsia="黑体"/>
          <w:sz w:val="24"/>
        </w:rPr>
      </w:pPr>
      <w:r>
        <w:rPr>
          <w:rFonts w:hint="eastAsia" w:ascii="黑体" w:hAnsi="黑体" w:eastAsia="黑体"/>
          <w:sz w:val="24"/>
        </w:rPr>
        <w:t>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734"/>
        <w:gridCol w:w="1210"/>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40" w:hRule="atLeast"/>
        </w:trPr>
        <w:tc>
          <w:tcPr>
            <w:tcW w:w="8508" w:type="dxa"/>
            <w:gridSpan w:val="9"/>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课程团队主要成员</w:t>
            </w:r>
          </w:p>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（序号</w:t>
            </w:r>
            <w:r>
              <w:rPr>
                <w:rFonts w:eastAsia="仿宋_GB2312"/>
                <w:sz w:val="24"/>
              </w:rPr>
              <w:t>1为课程负责人，课程负责人及团队其他主要成员总人数限5人之内</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3" w:hRule="atLeast"/>
        </w:trPr>
        <w:tc>
          <w:tcPr>
            <w:tcW w:w="733"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734"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734" w:type="dxa"/>
            <w:vAlign w:val="center"/>
          </w:tcPr>
          <w:p>
            <w:pPr>
              <w:spacing w:line="340" w:lineRule="atLeast"/>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210"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出生年月</w:t>
            </w:r>
          </w:p>
        </w:tc>
        <w:tc>
          <w:tcPr>
            <w:tcW w:w="734"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733"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209"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手机号码</w:t>
            </w:r>
          </w:p>
        </w:tc>
        <w:tc>
          <w:tcPr>
            <w:tcW w:w="1212"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1209" w:type="dxa"/>
            <w:vAlign w:val="center"/>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1</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2</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3</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4</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90" w:hRule="atLeast"/>
        </w:trPr>
        <w:tc>
          <w:tcPr>
            <w:tcW w:w="733" w:type="dxa"/>
          </w:tcPr>
          <w:p>
            <w:pPr>
              <w:spacing w:line="340" w:lineRule="atLeast"/>
              <w:jc w:val="center"/>
              <w:rPr>
                <w:rFonts w:eastAsia="仿宋_GB2312"/>
                <w:sz w:val="24"/>
              </w:rPr>
            </w:pPr>
            <w:r>
              <w:rPr>
                <w:rFonts w:eastAsia="仿宋_GB2312"/>
                <w:sz w:val="24"/>
              </w:rPr>
              <w:t>5</w:t>
            </w:r>
          </w:p>
        </w:tc>
        <w:tc>
          <w:tcPr>
            <w:tcW w:w="734"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1210" w:type="dxa"/>
          </w:tcPr>
          <w:p>
            <w:pPr>
              <w:spacing w:line="340" w:lineRule="atLeast"/>
              <w:rPr>
                <w:rFonts w:ascii="仿宋_GB2312" w:hAnsi="仿宋_GB2312" w:eastAsia="仿宋_GB2312" w:cs="仿宋_GB2312"/>
                <w:sz w:val="24"/>
              </w:rPr>
            </w:pPr>
          </w:p>
        </w:tc>
        <w:tc>
          <w:tcPr>
            <w:tcW w:w="734" w:type="dxa"/>
          </w:tcPr>
          <w:p>
            <w:pPr>
              <w:spacing w:line="340" w:lineRule="atLeast"/>
              <w:rPr>
                <w:rFonts w:ascii="仿宋_GB2312" w:hAnsi="仿宋_GB2312" w:eastAsia="仿宋_GB2312" w:cs="仿宋_GB2312"/>
                <w:sz w:val="24"/>
              </w:rPr>
            </w:pPr>
          </w:p>
        </w:tc>
        <w:tc>
          <w:tcPr>
            <w:tcW w:w="733"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c>
          <w:tcPr>
            <w:tcW w:w="1212" w:type="dxa"/>
          </w:tcPr>
          <w:p>
            <w:pPr>
              <w:spacing w:line="340" w:lineRule="atLeast"/>
              <w:rPr>
                <w:rFonts w:ascii="仿宋_GB2312" w:hAnsi="仿宋_GB2312" w:eastAsia="仿宋_GB2312" w:cs="仿宋_GB2312"/>
                <w:sz w:val="24"/>
              </w:rPr>
            </w:pPr>
          </w:p>
        </w:tc>
        <w:tc>
          <w:tcPr>
            <w:tcW w:w="1209" w:type="dxa"/>
          </w:tcPr>
          <w:p>
            <w:pPr>
              <w:spacing w:line="340" w:lineRule="atLeas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8520" w:type="dxa"/>
            <w:gridSpan w:val="10"/>
            <w:tcBorders>
              <w:top w:val="single" w:color="auto" w:sz="4" w:space="0"/>
              <w:left w:val="single" w:color="auto" w:sz="4" w:space="0"/>
              <w:bottom w:val="single" w:color="auto" w:sz="4" w:space="0"/>
              <w:right w:val="single" w:color="auto" w:sz="4" w:space="0"/>
            </w:tcBorders>
          </w:tcPr>
          <w:p>
            <w:pPr>
              <w:spacing w:line="340" w:lineRule="atLeast"/>
              <w:jc w:val="center"/>
              <w:rPr>
                <w:rFonts w:ascii="仿宋_GB2312" w:hAnsi="仿宋_GB2312" w:eastAsia="仿宋_GB2312" w:cs="仿宋_GB2312"/>
                <w:sz w:val="24"/>
              </w:rPr>
            </w:pPr>
            <w:r>
              <w:rPr>
                <w:rFonts w:hint="eastAsia" w:ascii="仿宋_GB2312" w:hAnsi="仿宋_GB2312" w:eastAsia="仿宋_GB2312" w:cs="仿宋_GB2312"/>
                <w:sz w:val="24"/>
              </w:rPr>
              <w:t>授课教师（课程负责人）教学情况（</w:t>
            </w:r>
            <w:r>
              <w:rPr>
                <w:rFonts w:eastAsia="仿宋_GB2312"/>
                <w:sz w:val="24"/>
              </w:rPr>
              <w:t>300</w:t>
            </w:r>
            <w:r>
              <w:rPr>
                <w:rFonts w:hint="eastAsia" w:ascii="仿宋_GB2312" w:hAnsi="仿宋_GB2312" w:eastAsia="仿宋_GB2312" w:cs="仿宋_GB2312"/>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楷体" w:hAnsi="楷体" w:eastAsia="楷体" w:cs="楷体"/>
                <w:sz w:val="24"/>
              </w:rPr>
            </w:pPr>
            <w:r>
              <w:rPr>
                <w:rFonts w:hint="eastAsia" w:ascii="仿宋_GB2312" w:hAnsi="仿宋_GB2312" w:eastAsia="仿宋_GB2312" w:cs="仿宋_GB2312"/>
                <w:sz w:val="24"/>
              </w:rPr>
              <w:t>（教学经历：近5年来在承担学校教学任务、开展教学研究、获得教学奖励方面的情况）</w:t>
            </w:r>
          </w:p>
          <w:p>
            <w:pPr>
              <w:spacing w:line="340" w:lineRule="atLeast"/>
              <w:rPr>
                <w:rFonts w:ascii="楷体" w:hAnsi="楷体" w:eastAsia="楷体" w:cs="楷体"/>
                <w:sz w:val="24"/>
              </w:rPr>
            </w:pPr>
          </w:p>
          <w:p>
            <w:pPr>
              <w:spacing w:line="340" w:lineRule="atLeast"/>
              <w:rPr>
                <w:rFonts w:ascii="楷体" w:hAnsi="楷体" w:eastAsia="楷体" w:cs="楷体"/>
                <w:sz w:val="24"/>
              </w:rPr>
            </w:pPr>
          </w:p>
        </w:tc>
      </w:tr>
    </w:tbl>
    <w:p>
      <w:pPr>
        <w:spacing w:line="340" w:lineRule="atLeast"/>
        <w:rPr>
          <w:rFonts w:ascii="黑体" w:hAnsi="黑体" w:eastAsia="黑体" w:cs="黑体"/>
          <w:sz w:val="24"/>
        </w:rPr>
      </w:pPr>
    </w:p>
    <w:p>
      <w:pPr>
        <w:spacing w:line="340" w:lineRule="atLeast"/>
        <w:rPr>
          <w:rFonts w:ascii="黑体" w:hAnsi="黑体" w:eastAsia="黑体" w:cs="黑体"/>
          <w:sz w:val="24"/>
        </w:rPr>
      </w:pPr>
    </w:p>
    <w:p>
      <w:pPr>
        <w:numPr>
          <w:ilvl w:val="0"/>
          <w:numId w:val="2"/>
        </w:numPr>
        <w:spacing w:line="340" w:lineRule="atLeast"/>
        <w:rPr>
          <w:rFonts w:ascii="黑体" w:hAnsi="黑体" w:eastAsia="黑体" w:cs="黑体"/>
          <w:sz w:val="24"/>
        </w:rPr>
      </w:pPr>
      <w:r>
        <w:rPr>
          <w:rFonts w:hint="eastAsia" w:ascii="黑体" w:hAnsi="黑体" w:eastAsia="黑体" w:cs="黑体"/>
          <w:sz w:val="24"/>
        </w:rPr>
        <w:t>课程目标（</w:t>
      </w:r>
      <w:r>
        <w:rPr>
          <w:rFonts w:eastAsia="黑体"/>
          <w:sz w:val="24"/>
        </w:rPr>
        <w:t>300</w:t>
      </w:r>
      <w:r>
        <w:rPr>
          <w:rFonts w:hint="eastAsia" w:ascii="黑体" w:hAnsi="黑体" w:eastAsia="黑体" w:cs="黑体"/>
          <w:sz w:val="24"/>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sz w:val="24"/>
              </w:rPr>
            </w:pPr>
            <w:r>
              <w:rPr>
                <w:rFonts w:hint="eastAsia" w:ascii="仿宋_GB2312" w:hAnsi="仿宋_GB2312" w:eastAsia="仿宋_GB2312" w:cs="仿宋_GB2312"/>
                <w:sz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tc>
      </w:tr>
    </w:tbl>
    <w:p>
      <w:pPr>
        <w:numPr>
          <w:ilvl w:val="0"/>
          <w:numId w:val="2"/>
        </w:numPr>
        <w:spacing w:line="340" w:lineRule="atLeast"/>
        <w:rPr>
          <w:rFonts w:ascii="黑体" w:hAnsi="黑体" w:eastAsia="黑体" w:cs="黑体"/>
          <w:sz w:val="24"/>
        </w:rPr>
      </w:pPr>
      <w:r>
        <w:rPr>
          <w:rFonts w:hint="eastAsia" w:ascii="黑体" w:hAnsi="黑体" w:eastAsia="黑体" w:cs="黑体"/>
          <w:sz w:val="24"/>
        </w:rPr>
        <w:t>课程建设及应用情况（</w:t>
      </w:r>
      <w:r>
        <w:rPr>
          <w:rFonts w:hint="eastAsia" w:eastAsia="黑体"/>
          <w:sz w:val="24"/>
        </w:rPr>
        <w:t>1500</w:t>
      </w:r>
      <w:r>
        <w:rPr>
          <w:rFonts w:hint="eastAsia" w:ascii="黑体" w:hAnsi="黑体" w:eastAsia="黑体" w:cs="黑体"/>
          <w:sz w:val="24"/>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sz w:val="24"/>
              </w:rPr>
            </w:pPr>
            <w:r>
              <w:rPr>
                <w:rFonts w:hint="eastAsia" w:ascii="仿宋_GB2312" w:hAnsi="仿宋_GB2312" w:eastAsia="仿宋_GB2312" w:cs="仿宋_GB2312"/>
                <w:sz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p>
            <w:pPr>
              <w:spacing w:line="340" w:lineRule="atLeast"/>
              <w:rPr>
                <w:rFonts w:ascii="仿宋_GB2312" w:hAnsi="仿宋_GB2312" w:eastAsia="仿宋_GB2312" w:cs="仿宋_GB2312"/>
                <w:sz w:val="24"/>
              </w:rPr>
            </w:pP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课程特色与创新（</w:t>
      </w:r>
      <w:r>
        <w:rPr>
          <w:rFonts w:hint="eastAsia" w:ascii="Times New Roman" w:hAnsi="Times New Roman" w:eastAsia="黑体"/>
          <w:sz w:val="24"/>
          <w:szCs w:val="24"/>
        </w:rPr>
        <w:t>500</w:t>
      </w:r>
      <w:r>
        <w:rPr>
          <w:rFonts w:hint="eastAsia" w:ascii="黑体" w:hAnsi="黑体" w:eastAsia="黑体" w:cs="黑体"/>
          <w:sz w:val="24"/>
          <w:szCs w:val="24"/>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sz w:val="24"/>
              </w:rPr>
            </w:pPr>
            <w:r>
              <w:rPr>
                <w:rFonts w:hint="eastAsia" w:ascii="仿宋_GB2312" w:hAnsi="仿宋_GB2312" w:eastAsia="仿宋_GB2312" w:cs="仿宋_GB2312"/>
                <w:sz w:val="24"/>
              </w:rPr>
              <w:t>（概述本课程的特色及教学改革创新点。）</w:t>
            </w:r>
          </w:p>
          <w:p>
            <w:pPr>
              <w:spacing w:line="340" w:lineRule="atLeast"/>
              <w:rPr>
                <w:sz w:val="24"/>
              </w:rPr>
            </w:pPr>
          </w:p>
          <w:p>
            <w:pPr>
              <w:spacing w:line="340" w:lineRule="atLeast"/>
              <w:rPr>
                <w:sz w:val="24"/>
              </w:rPr>
            </w:pPr>
          </w:p>
          <w:p>
            <w:pPr>
              <w:spacing w:line="340" w:lineRule="atLeast"/>
              <w:rPr>
                <w:sz w:val="24"/>
              </w:rPr>
            </w:pPr>
          </w:p>
          <w:p>
            <w:pPr>
              <w:spacing w:line="340" w:lineRule="atLeast"/>
              <w:rPr>
                <w:sz w:val="24"/>
              </w:rPr>
            </w:pPr>
          </w:p>
          <w:p>
            <w:pPr>
              <w:spacing w:line="340" w:lineRule="atLeast"/>
              <w:rPr>
                <w:sz w:val="24"/>
              </w:rPr>
            </w:pP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课程建设计划（</w:t>
      </w:r>
      <w:r>
        <w:rPr>
          <w:rFonts w:hint="eastAsia" w:ascii="Times New Roman" w:hAnsi="Times New Roman" w:eastAsia="黑体"/>
          <w:sz w:val="24"/>
          <w:szCs w:val="24"/>
        </w:rPr>
        <w:t>500</w:t>
      </w:r>
      <w:r>
        <w:rPr>
          <w:rFonts w:hint="eastAsia" w:ascii="黑体" w:hAnsi="黑体" w:eastAsia="黑体" w:cs="黑体"/>
          <w:sz w:val="24"/>
          <w:szCs w:val="24"/>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sz w:val="24"/>
              </w:rPr>
            </w:pPr>
            <w:r>
              <w:rPr>
                <w:rFonts w:hint="eastAsia" w:ascii="仿宋_GB2312" w:hAnsi="仿宋_GB2312" w:eastAsia="仿宋_GB2312" w:cs="仿宋_GB2312"/>
                <w:sz w:val="24"/>
              </w:rPr>
              <w:t>（今后五年课程的持续建设计划、需要进一步解决的问题，改革方向和改进措施等。）</w:t>
            </w: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课程负责人的10分钟“说课”视频（必须提供）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sz w:val="24"/>
                <w:szCs w:val="24"/>
              </w:rPr>
              <w:t>3</w:t>
            </w:r>
            <w:r>
              <w:rPr>
                <w:rFonts w:hint="eastAsia" w:ascii="仿宋_GB2312" w:hAnsi="仿宋_GB2312" w:eastAsia="仿宋_GB2312" w:cs="仿宋_GB2312"/>
                <w:sz w:val="24"/>
                <w:szCs w:val="24"/>
              </w:rPr>
              <w:t>分钟。]</w:t>
            </w:r>
          </w:p>
          <w:p>
            <w:pPr>
              <w:pStyle w:val="10"/>
              <w:numPr>
                <w:ilvl w:val="0"/>
                <w:numId w:val="3"/>
              </w:numPr>
              <w:adjustRightInd w:val="0"/>
              <w:snapToGrid w:val="0"/>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教学设计样例说明（必须提供）</w:t>
            </w:r>
          </w:p>
          <w:p>
            <w:pPr>
              <w:pStyle w:val="10"/>
              <w:adjustRightInd w:val="0"/>
              <w:snapToGrid w:val="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sz w:val="24"/>
                <w:szCs w:val="24"/>
              </w:rPr>
              <w:t>5</w:t>
            </w:r>
            <w:r>
              <w:rPr>
                <w:rFonts w:hint="eastAsia" w:ascii="仿宋_GB2312" w:hAnsi="仿宋_GB2312" w:eastAsia="仿宋_GB2312" w:cs="仿宋_GB2312"/>
                <w:sz w:val="24"/>
                <w:szCs w:val="24"/>
              </w:rPr>
              <w:t>张教学活动的图片。要求教学设计样例应具有较强的可读性，表述清晰流畅。课程负责人签字。）</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最近一学期的教学日历（必须提供）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最近一学期的测验、考试（考核）及答案（成果等）（必须提供）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最近两学期的学生成绩分布统计（必须提供）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最近两学期的学生在线学习数据（仅混合式课程必须提供）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adjustRightInd w:val="0"/>
              <w:snapToGrid w:val="0"/>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最近一学期的课程教案（选择性提供）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（课程负责人签字。）</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最近一学期学生评教结果统计（选择性提供）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最近一次学校对课堂教学评价（选择性提供）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（申报学校教务处盖章。）</w:t>
            </w:r>
          </w:p>
          <w:p>
            <w:pPr>
              <w:pStyle w:val="10"/>
              <w:numPr>
                <w:ilvl w:val="0"/>
                <w:numId w:val="3"/>
              </w:numPr>
              <w:spacing w:line="340" w:lineRule="atLeast"/>
              <w:ind w:left="0" w:firstLine="482"/>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教学（课堂或实践）实录视频（选择性提供）</w:t>
            </w:r>
          </w:p>
          <w:p>
            <w:pPr>
              <w:pStyle w:val="10"/>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Times New Roman" w:hAnsi="Times New Roman" w:eastAsia="仿宋_GB2312"/>
                <w:sz w:val="24"/>
                <w:szCs w:val="24"/>
              </w:rPr>
              <w:t>完整的一节课堂实录，至少40分钟，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sz w:val="24"/>
                <w:szCs w:val="24"/>
              </w:rPr>
              <w:t>。）</w:t>
            </w:r>
          </w:p>
          <w:p>
            <w:pPr>
              <w:pStyle w:val="10"/>
              <w:numPr>
                <w:ilvl w:val="0"/>
                <w:numId w:val="3"/>
              </w:numPr>
              <w:spacing w:line="340" w:lineRule="atLeast"/>
              <w:ind w:left="0" w:firstLine="482"/>
              <w:rPr>
                <w:rFonts w:ascii="仿宋_GB2312" w:hAnsi="仿宋_GB2312" w:eastAsia="仿宋_GB2312" w:cs="仿宋_GB2312"/>
                <w:sz w:val="24"/>
                <w:szCs w:val="24"/>
              </w:rPr>
            </w:pPr>
            <w:r>
              <w:rPr>
                <w:rFonts w:hint="eastAsia" w:ascii="仿宋_GB2312" w:hAnsi="仿宋_GB2312" w:eastAsia="仿宋_GB2312" w:cs="仿宋_GB2312"/>
                <w:b/>
                <w:bCs/>
                <w:sz w:val="24"/>
                <w:szCs w:val="24"/>
              </w:rPr>
              <w:t>其他材料，不超过</w:t>
            </w:r>
            <w:r>
              <w:rPr>
                <w:rFonts w:ascii="Times New Roman" w:hAnsi="Times New Roman" w:eastAsia="仿宋_GB2312"/>
                <w:b/>
                <w:bCs/>
                <w:sz w:val="24"/>
                <w:szCs w:val="24"/>
              </w:rPr>
              <w:t>2</w:t>
            </w:r>
            <w:r>
              <w:rPr>
                <w:rFonts w:hint="eastAsia" w:ascii="仿宋_GB2312" w:hAnsi="仿宋_GB2312" w:eastAsia="仿宋_GB2312" w:cs="仿宋_GB2312"/>
                <w:b/>
                <w:bCs/>
                <w:sz w:val="24"/>
                <w:szCs w:val="24"/>
              </w:rPr>
              <w:t>份（选择性提供）</w:t>
            </w:r>
          </w:p>
          <w:p>
            <w:pPr>
              <w:spacing w:line="340" w:lineRule="atLeast"/>
              <w:ind w:firstLine="482" w:firstLineChars="200"/>
              <w:rPr>
                <w:rFonts w:ascii="仿宋_GB2312" w:hAnsi="仿宋_GB2312" w:eastAsia="仿宋_GB2312" w:cs="仿宋_GB2312"/>
                <w:b/>
                <w:bCs/>
                <w:w w:val="95"/>
                <w:sz w:val="24"/>
              </w:rPr>
            </w:pPr>
            <w:r>
              <w:rPr>
                <w:rFonts w:hint="eastAsia" w:ascii="仿宋_GB2312" w:hAnsi="仿宋_GB2312" w:eastAsia="仿宋_GB2312" w:cs="仿宋_GB2312"/>
                <w:b/>
                <w:bCs/>
                <w:sz w:val="24"/>
              </w:rPr>
              <w:t>以上材料均可能在网上公开，请严格审查，确保不违反有关法律及保密规定。</w:t>
            </w:r>
          </w:p>
        </w:tc>
      </w:tr>
    </w:tbl>
    <w:p>
      <w:pPr>
        <w:pStyle w:val="10"/>
        <w:numPr>
          <w:ilvl w:val="0"/>
          <w:numId w:val="2"/>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rPr>
        <w:t>课程负责人诚信承诺</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8522" w:type="dxa"/>
          </w:tcPr>
          <w:p>
            <w:pPr>
              <w:adjustRightInd w:val="0"/>
              <w:snapToGrid w:val="0"/>
              <w:spacing w:before="624" w:beforeLines="200" w:after="312" w:afterLines="100" w:line="400" w:lineRule="atLeast"/>
              <w:ind w:firstLine="480" w:firstLineChars="200"/>
              <w:rPr>
                <w:rFonts w:ascii="仿宋_GB2312" w:hAnsi="仿宋" w:eastAsia="仿宋_GB2312"/>
                <w:sz w:val="24"/>
              </w:rPr>
            </w:pPr>
            <w:r>
              <w:rPr>
                <w:rFonts w:hint="eastAsia" w:ascii="仿宋_GB2312" w:hAnsi="仿宋" w:eastAsia="仿宋_GB2312"/>
                <w:sz w:val="24"/>
              </w:rPr>
              <w:t>本人已认真填写并检查以上材料，保证内容真实有效。</w:t>
            </w:r>
          </w:p>
          <w:p>
            <w:pPr>
              <w:wordWrap w:val="0"/>
              <w:adjustRightInd w:val="0"/>
              <w:snapToGrid w:val="0"/>
              <w:spacing w:line="400" w:lineRule="atLeast"/>
              <w:ind w:right="2520" w:rightChars="1200" w:firstLine="480" w:firstLineChars="200"/>
              <w:jc w:val="right"/>
              <w:rPr>
                <w:rFonts w:ascii="仿宋_GB2312" w:hAnsi="仿宋" w:eastAsia="仿宋_GB2312"/>
                <w:sz w:val="24"/>
              </w:rPr>
            </w:pPr>
            <w:r>
              <w:rPr>
                <w:rFonts w:hint="eastAsia" w:ascii="仿宋_GB2312" w:hAnsi="仿宋" w:eastAsia="仿宋_GB2312"/>
                <w:sz w:val="24"/>
              </w:rPr>
              <w:t>课程负责人（签字）：</w:t>
            </w:r>
          </w:p>
          <w:p>
            <w:pPr>
              <w:wordWrap w:val="0"/>
              <w:adjustRightInd w:val="0"/>
              <w:snapToGrid w:val="0"/>
              <w:spacing w:line="400" w:lineRule="atLeast"/>
              <w:ind w:right="2520" w:rightChars="1200" w:firstLine="480" w:firstLineChars="200"/>
              <w:jc w:val="right"/>
              <w:rPr>
                <w:rFonts w:ascii="仿宋_GB2312" w:hAnsi="仿宋" w:eastAsia="仿宋_GB2312"/>
                <w:sz w:val="24"/>
              </w:rPr>
            </w:pPr>
            <w:r>
              <w:rPr>
                <w:rFonts w:hint="eastAsia" w:ascii="仿宋_GB2312" w:hAnsi="仿宋" w:eastAsia="仿宋_GB2312"/>
                <w:sz w:val="24"/>
              </w:rPr>
              <w:t>年   月   日</w:t>
            </w: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学校教指委或学术委员会课程评价意见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firstLine="0" w:firstLineChars="0"/>
              <w:rPr>
                <w:sz w:val="24"/>
                <w:szCs w:val="24"/>
              </w:rPr>
            </w:pPr>
          </w:p>
          <w:p>
            <w:pPr>
              <w:pStyle w:val="10"/>
              <w:spacing w:line="340" w:lineRule="atLeast"/>
              <w:ind w:right="3150" w:rightChars="1500" w:firstLine="0" w:firstLineChars="0"/>
              <w:rPr>
                <w:sz w:val="24"/>
                <w:szCs w:val="24"/>
              </w:rPr>
            </w:pPr>
          </w:p>
          <w:p>
            <w:pPr>
              <w:pStyle w:val="10"/>
              <w:wordWrap w:val="0"/>
              <w:spacing w:line="400" w:lineRule="atLeast"/>
              <w:ind w:right="2520" w:rightChars="1200" w:firstLine="0" w:firstLineChars="0"/>
              <w:jc w:val="right"/>
              <w:rPr>
                <w:rFonts w:ascii="仿宋_GB2312" w:hAnsi="仿宋" w:eastAsia="仿宋_GB2312"/>
                <w:sz w:val="24"/>
                <w:szCs w:val="24"/>
              </w:rPr>
            </w:pPr>
            <w:r>
              <w:rPr>
                <w:rFonts w:hint="eastAsia" w:ascii="仿宋_GB2312" w:hAnsi="仿宋" w:eastAsia="仿宋_GB2312"/>
                <w:sz w:val="24"/>
                <w:szCs w:val="24"/>
              </w:rPr>
              <w:t>负责人（签字）：</w:t>
            </w:r>
          </w:p>
          <w:p>
            <w:pPr>
              <w:pStyle w:val="10"/>
              <w:spacing w:line="400" w:lineRule="atLeast"/>
              <w:ind w:right="2520" w:rightChars="1200" w:firstLine="0" w:firstLineChars="0"/>
              <w:jc w:val="right"/>
              <w:rPr>
                <w:rFonts w:ascii="仿宋_GB2312" w:hAnsi="仿宋" w:eastAsia="仿宋_GB2312"/>
                <w:sz w:val="24"/>
                <w:szCs w:val="24"/>
              </w:rPr>
            </w:pPr>
            <w:r>
              <w:rPr>
                <w:rFonts w:hint="eastAsia" w:ascii="仿宋_GB2312" w:hAnsi="仿宋" w:eastAsia="仿宋_GB2312"/>
                <w:sz w:val="24"/>
                <w:szCs w:val="24"/>
              </w:rPr>
              <w:t>年   月   日</w:t>
            </w:r>
          </w:p>
          <w:p>
            <w:pPr>
              <w:pStyle w:val="10"/>
              <w:spacing w:line="340" w:lineRule="atLeast"/>
              <w:ind w:firstLine="0" w:firstLineChars="0"/>
              <w:jc w:val="center"/>
              <w:rPr>
                <w:rFonts w:ascii="仿宋_GB2312" w:hAnsi="仿宋" w:eastAsia="仿宋_GB2312"/>
                <w:sz w:val="24"/>
                <w:szCs w:val="24"/>
              </w:rPr>
            </w:pPr>
          </w:p>
        </w:tc>
      </w:tr>
    </w:tbl>
    <w:p>
      <w:pPr>
        <w:pStyle w:val="10"/>
        <w:spacing w:line="340" w:lineRule="atLeast"/>
        <w:ind w:firstLine="0" w:firstLineChars="0"/>
        <w:rPr>
          <w:rFonts w:ascii="黑体" w:hAnsi="黑体" w:eastAsia="黑体" w:cs="黑体"/>
          <w:sz w:val="24"/>
          <w:szCs w:val="24"/>
        </w:rPr>
      </w:pPr>
    </w:p>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学校政治审查意见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0"/>
              <w:spacing w:line="340" w:lineRule="atLeast"/>
              <w:ind w:firstLine="0" w:firstLineChars="0"/>
              <w:rPr>
                <w:sz w:val="24"/>
                <w:szCs w:val="24"/>
              </w:rPr>
            </w:pPr>
          </w:p>
          <w:p>
            <w:pPr>
              <w:pStyle w:val="10"/>
              <w:spacing w:line="400" w:lineRule="exac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该课程内容及上传的申报材料无危害国家安全、涉密及其他不适宜公开传播的内容，思想导向正确，不存在思想性问题。</w:t>
            </w:r>
          </w:p>
          <w:p>
            <w:pPr>
              <w:pStyle w:val="10"/>
              <w:spacing w:line="400" w:lineRule="exac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该课程团队负责人及成员遵纪守法，无违法违纪行为，不存在师德师风问题、学术不端等问题，五年内未出现过重大教学事故。</w:t>
            </w:r>
          </w:p>
          <w:p>
            <w:pPr>
              <w:pStyle w:val="10"/>
              <w:spacing w:line="400" w:lineRule="exact"/>
              <w:ind w:firstLine="480"/>
              <w:rPr>
                <w:rFonts w:ascii="仿宋_GB2312" w:hAnsi="仿宋_GB2312" w:eastAsia="仿宋_GB2312" w:cs="仿宋_GB2312"/>
                <w:sz w:val="24"/>
                <w:szCs w:val="24"/>
              </w:rPr>
            </w:pPr>
          </w:p>
          <w:p>
            <w:pPr>
              <w:pStyle w:val="10"/>
              <w:wordWrap w:val="0"/>
              <w:spacing w:line="400" w:lineRule="exact"/>
              <w:ind w:right="2520" w:rightChars="1200" w:firstLine="480"/>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学校党委（盖章）</w:t>
            </w:r>
          </w:p>
          <w:p>
            <w:pPr>
              <w:pStyle w:val="10"/>
              <w:spacing w:line="400" w:lineRule="exact"/>
              <w:ind w:right="2520" w:rightChars="1200" w:firstLine="480"/>
              <w:jc w:val="right"/>
              <w:rPr>
                <w:rFonts w:ascii="仿宋_GB2312" w:hAnsi="仿宋_GB2312" w:eastAsia="仿宋_GB2312" w:cs="仿宋_GB2312"/>
                <w:sz w:val="24"/>
                <w:szCs w:val="24"/>
              </w:rPr>
            </w:pPr>
            <w:r>
              <w:rPr>
                <w:rFonts w:hint="eastAsia" w:ascii="仿宋_GB2312" w:hAnsi="仿宋" w:eastAsia="仿宋_GB2312"/>
                <w:sz w:val="24"/>
                <w:szCs w:val="24"/>
              </w:rPr>
              <w:t>年   月   日</w:t>
            </w:r>
          </w:p>
          <w:p>
            <w:pPr>
              <w:pStyle w:val="10"/>
              <w:spacing w:line="340" w:lineRule="atLeast"/>
              <w:ind w:firstLine="0" w:firstLineChars="0"/>
              <w:rPr>
                <w:sz w:val="24"/>
                <w:szCs w:val="24"/>
              </w:rPr>
            </w:pPr>
          </w:p>
        </w:tc>
      </w:tr>
    </w:tbl>
    <w:p>
      <w:pPr>
        <w:pStyle w:val="10"/>
        <w:numPr>
          <w:ilvl w:val="0"/>
          <w:numId w:val="2"/>
        </w:numPr>
        <w:spacing w:line="340" w:lineRule="atLeast"/>
        <w:ind w:firstLineChars="0"/>
        <w:rPr>
          <w:rFonts w:ascii="黑体" w:hAnsi="黑体" w:eastAsia="黑体"/>
          <w:sz w:val="24"/>
          <w:szCs w:val="24"/>
        </w:rPr>
      </w:pPr>
      <w:r>
        <w:rPr>
          <w:rFonts w:hint="eastAsia" w:ascii="黑体" w:hAnsi="黑体" w:eastAsia="黑体"/>
          <w:sz w:val="24"/>
          <w:szCs w:val="24"/>
        </w:rPr>
        <w:t>申报学校承诺意见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8522" w:type="dxa"/>
          </w:tcPr>
          <w:p>
            <w:pPr>
              <w:spacing w:before="156" w:beforeLines="50" w:after="156" w:afterLines="50" w:line="340" w:lineRule="atLeast"/>
              <w:ind w:firstLine="480" w:firstLineChars="200"/>
              <w:rPr>
                <w:rFonts w:ascii="仿宋_GB2312" w:hAnsi="仿宋" w:eastAsia="仿宋_GB2312"/>
                <w:sz w:val="24"/>
              </w:rPr>
            </w:pPr>
          </w:p>
          <w:p>
            <w:pPr>
              <w:spacing w:line="400" w:lineRule="exact"/>
              <w:ind w:firstLine="480" w:firstLineChars="200"/>
              <w:rPr>
                <w:rFonts w:ascii="仿宋_GB2312" w:hAnsi="仿宋" w:eastAsia="仿宋_GB2312"/>
                <w:sz w:val="24"/>
              </w:rPr>
            </w:pPr>
            <w:r>
              <w:rPr>
                <w:rFonts w:hint="eastAsia" w:ascii="仿宋_GB2312" w:hAnsi="仿宋" w:eastAsia="仿宋_GB2312"/>
                <w:sz w:val="24"/>
              </w:rPr>
              <w:t>学校对课程有关信息及课程负责人填报的内容进行了核实，保证真实性。经对该课程评审评价，择优申报推荐。</w:t>
            </w:r>
          </w:p>
          <w:p>
            <w:pPr>
              <w:spacing w:line="400" w:lineRule="exact"/>
              <w:ind w:firstLine="480" w:firstLineChars="200"/>
              <w:rPr>
                <w:rFonts w:ascii="仿宋_GB2312" w:hAnsi="仿宋" w:eastAsia="仿宋_GB2312"/>
                <w:sz w:val="24"/>
              </w:rPr>
            </w:pPr>
            <w:r>
              <w:rPr>
                <w:rFonts w:hint="eastAsia" w:ascii="仿宋_GB2312" w:hAnsi="仿宋" w:eastAsia="仿宋_GB2312"/>
                <w:sz w:val="24"/>
              </w:rPr>
              <w:t>该课程如果被认定为“国家级一流本科课程”，学校承诺为课程团队提供政策、经费等方面的支持，确保该课程继续建设五年。学校同意课程建设和改革成果在指定的网站上公开展示和分享。学校将监督课程教学团队经审核程序后更新资源和数据。</w:t>
            </w:r>
          </w:p>
          <w:p>
            <w:pPr>
              <w:spacing w:line="400" w:lineRule="exact"/>
              <w:ind w:right="1680"/>
              <w:rPr>
                <w:rFonts w:ascii="仿宋_GB2312" w:hAnsi="仿宋" w:eastAsia="仿宋_GB2312"/>
                <w:sz w:val="24"/>
              </w:rPr>
            </w:pPr>
          </w:p>
          <w:p>
            <w:pPr>
              <w:wordWrap w:val="0"/>
              <w:spacing w:line="400" w:lineRule="exact"/>
              <w:ind w:right="2520" w:rightChars="1200"/>
              <w:jc w:val="right"/>
              <w:rPr>
                <w:rFonts w:ascii="仿宋_GB2312" w:hAnsi="仿宋" w:eastAsia="仿宋_GB2312"/>
                <w:sz w:val="24"/>
              </w:rPr>
            </w:pPr>
            <w:r>
              <w:rPr>
                <w:rFonts w:hint="eastAsia" w:ascii="仿宋_GB2312" w:hAnsi="仿宋" w:eastAsia="仿宋_GB2312"/>
                <w:sz w:val="24"/>
              </w:rPr>
              <w:t>主管校领导签字：</w:t>
            </w:r>
          </w:p>
          <w:p>
            <w:pPr>
              <w:wordWrap w:val="0"/>
              <w:spacing w:line="400" w:lineRule="exact"/>
              <w:ind w:right="2520" w:rightChars="1200"/>
              <w:jc w:val="right"/>
              <w:rPr>
                <w:rFonts w:ascii="仿宋_GB2312" w:hAnsi="仿宋" w:eastAsia="仿宋_GB2312"/>
                <w:sz w:val="24"/>
              </w:rPr>
            </w:pPr>
            <w:r>
              <w:rPr>
                <w:rFonts w:hint="eastAsia" w:ascii="仿宋_GB2312" w:hAnsi="仿宋" w:eastAsia="仿宋_GB2312"/>
                <w:sz w:val="24"/>
              </w:rPr>
              <w:t>（学校公章）</w:t>
            </w:r>
          </w:p>
          <w:p>
            <w:pPr>
              <w:wordWrap w:val="0"/>
              <w:spacing w:line="400" w:lineRule="exact"/>
              <w:ind w:right="2520" w:rightChars="1200"/>
              <w:jc w:val="right"/>
              <w:rPr>
                <w:rFonts w:ascii="仿宋_GB2312" w:hAnsi="仿宋" w:eastAsia="仿宋_GB2312"/>
                <w:sz w:val="24"/>
              </w:rPr>
            </w:pPr>
            <w:r>
              <w:rPr>
                <w:rFonts w:hint="eastAsia" w:ascii="仿宋_GB2312" w:hAnsi="仿宋" w:eastAsia="仿宋_GB2312"/>
                <w:sz w:val="24"/>
              </w:rPr>
              <w:t>年   月   日</w:t>
            </w:r>
          </w:p>
        </w:tc>
      </w:tr>
    </w:tbl>
    <w:p>
      <w:pPr>
        <w:pStyle w:val="10"/>
        <w:numPr>
          <w:ilvl w:val="0"/>
          <w:numId w:val="2"/>
        </w:numPr>
        <w:spacing w:line="340" w:lineRule="atLeast"/>
        <w:ind w:firstLineChars="0"/>
        <w:rPr>
          <w:rFonts w:ascii="黑体" w:hAnsi="黑体" w:eastAsia="黑体" w:cs="黑体"/>
          <w:sz w:val="24"/>
          <w:szCs w:val="24"/>
        </w:rPr>
      </w:pPr>
      <w:r>
        <w:rPr>
          <w:rFonts w:hint="eastAsia" w:ascii="黑体" w:hAnsi="黑体" w:eastAsia="黑体" w:cs="黑体"/>
          <w:sz w:val="24"/>
          <w:szCs w:val="24"/>
        </w:rPr>
        <w:t>中央部门教育司（局）或省级教育行政部门推荐意见</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trPr>
        <w:tc>
          <w:tcPr>
            <w:tcW w:w="8522" w:type="dxa"/>
          </w:tcPr>
          <w:p>
            <w:pPr>
              <w:spacing w:line="340" w:lineRule="atLeast"/>
              <w:rPr>
                <w:sz w:val="24"/>
              </w:rPr>
            </w:pPr>
          </w:p>
          <w:p>
            <w:pPr>
              <w:wordWrap w:val="0"/>
              <w:adjustRightInd w:val="0"/>
              <w:snapToGrid w:val="0"/>
              <w:spacing w:line="340" w:lineRule="atLeast"/>
              <w:ind w:right="960"/>
              <w:jc w:val="right"/>
              <w:rPr>
                <w:rFonts w:ascii="仿宋_GB2312" w:hAnsi="仿宋" w:eastAsia="仿宋_GB2312"/>
                <w:sz w:val="24"/>
              </w:rPr>
            </w:pPr>
          </w:p>
          <w:p>
            <w:pPr>
              <w:wordWrap w:val="0"/>
              <w:adjustRightInd w:val="0"/>
              <w:snapToGrid w:val="0"/>
              <w:spacing w:line="340" w:lineRule="atLeast"/>
              <w:ind w:right="960"/>
              <w:jc w:val="right"/>
              <w:rPr>
                <w:rFonts w:ascii="仿宋_GB2312" w:hAnsi="仿宋" w:eastAsia="仿宋_GB2312"/>
                <w:sz w:val="24"/>
              </w:rPr>
            </w:pPr>
          </w:p>
          <w:p>
            <w:pPr>
              <w:adjustRightInd w:val="0"/>
              <w:snapToGrid w:val="0"/>
              <w:spacing w:line="340" w:lineRule="atLeast"/>
              <w:ind w:right="960"/>
              <w:jc w:val="right"/>
              <w:rPr>
                <w:rFonts w:ascii="仿宋_GB2312" w:hAnsi="仿宋" w:eastAsia="仿宋_GB2312"/>
                <w:sz w:val="24"/>
              </w:rPr>
            </w:pPr>
          </w:p>
          <w:p>
            <w:pPr>
              <w:wordWrap w:val="0"/>
              <w:adjustRightInd w:val="0"/>
              <w:snapToGrid w:val="0"/>
              <w:spacing w:line="340" w:lineRule="atLeast"/>
              <w:ind w:right="960"/>
              <w:jc w:val="center"/>
              <w:rPr>
                <w:rFonts w:ascii="仿宋_GB2312" w:hAnsi="仿宋" w:eastAsia="仿宋_GB2312"/>
                <w:sz w:val="24"/>
              </w:rPr>
            </w:pPr>
          </w:p>
          <w:p>
            <w:pPr>
              <w:wordWrap w:val="0"/>
              <w:adjustRightInd w:val="0"/>
              <w:snapToGrid w:val="0"/>
              <w:spacing w:line="340" w:lineRule="atLeast"/>
              <w:ind w:right="960"/>
              <w:jc w:val="center"/>
              <w:rPr>
                <w:rFonts w:ascii="仿宋_GB2312" w:hAnsi="仿宋" w:eastAsia="仿宋_GB2312"/>
                <w:sz w:val="24"/>
              </w:rPr>
            </w:pPr>
          </w:p>
          <w:p>
            <w:pPr>
              <w:wordWrap w:val="0"/>
              <w:adjustRightInd w:val="0"/>
              <w:snapToGrid w:val="0"/>
              <w:spacing w:line="340" w:lineRule="atLeast"/>
              <w:ind w:right="960"/>
              <w:jc w:val="center"/>
              <w:rPr>
                <w:rFonts w:ascii="仿宋_GB2312" w:hAnsi="仿宋" w:eastAsia="仿宋_GB2312"/>
                <w:sz w:val="24"/>
              </w:rPr>
            </w:pPr>
          </w:p>
          <w:p>
            <w:pPr>
              <w:wordWrap w:val="0"/>
              <w:adjustRightInd w:val="0"/>
              <w:snapToGrid w:val="0"/>
              <w:spacing w:line="400" w:lineRule="atLeast"/>
              <w:ind w:right="2520" w:rightChars="1200"/>
              <w:jc w:val="right"/>
              <w:rPr>
                <w:rFonts w:ascii="仿宋_GB2312" w:hAnsi="仿宋" w:eastAsia="仿宋_GB2312"/>
                <w:sz w:val="24"/>
              </w:rPr>
            </w:pPr>
            <w:r>
              <w:rPr>
                <w:rFonts w:hint="eastAsia" w:ascii="仿宋_GB2312" w:hAnsi="仿宋" w:eastAsia="仿宋_GB2312"/>
                <w:sz w:val="24"/>
              </w:rPr>
              <w:t>（单位公章）</w:t>
            </w:r>
          </w:p>
          <w:p>
            <w:pPr>
              <w:wordWrap w:val="0"/>
              <w:adjustRightInd w:val="0"/>
              <w:snapToGrid w:val="0"/>
              <w:spacing w:line="400" w:lineRule="atLeast"/>
              <w:ind w:right="2520" w:rightChars="1200"/>
              <w:jc w:val="right"/>
              <w:rPr>
                <w:rFonts w:eastAsia="仿宋_GB2312"/>
                <w:sz w:val="24"/>
              </w:rPr>
            </w:pPr>
            <w:r>
              <w:rPr>
                <w:rFonts w:hint="eastAsia" w:ascii="仿宋_GB2312" w:hAnsi="仿宋" w:eastAsia="仿宋_GB2312"/>
                <w:sz w:val="24"/>
              </w:rPr>
              <w:t>年   月   日</w:t>
            </w:r>
          </w:p>
        </w:tc>
      </w:tr>
    </w:tbl>
    <w:p/>
    <w:p>
      <w:pPr>
        <w:sectPr>
          <w:footerReference r:id="rId4" w:type="default"/>
          <w:pgSz w:w="11906" w:h="16838"/>
          <w:pgMar w:top="1440" w:right="1800" w:bottom="1440" w:left="1800" w:header="851" w:footer="992" w:gutter="0"/>
          <w:pgNumType w:fmt="decimal"/>
          <w:cols w:space="425" w:num="1"/>
          <w:docGrid w:type="lines" w:linePitch="312" w:charSpace="0"/>
        </w:sectPr>
      </w:pPr>
    </w:p>
    <w:p>
      <w:pPr>
        <w:spacing w:after="120" w:afterLines="50"/>
        <w:jc w:val="center"/>
        <w:outlineLvl w:val="0"/>
        <w:rPr>
          <w:rFonts w:ascii="方正小标宋简体" w:hAnsi="宋体" w:eastAsia="方正小标宋简体"/>
          <w:sz w:val="36"/>
          <w:szCs w:val="36"/>
        </w:rPr>
      </w:pPr>
      <w:r>
        <w:rPr>
          <w:rFonts w:hint="eastAsia" w:ascii="方正小标宋简体" w:hAnsi="宋体" w:eastAsia="方正小标宋简体"/>
          <w:sz w:val="36"/>
          <w:szCs w:val="36"/>
        </w:rPr>
        <w:t>国家级一流本科课程申报推荐汇总表（2019年）</w:t>
      </w:r>
    </w:p>
    <w:p>
      <w:pPr>
        <w:spacing w:line="380" w:lineRule="exact"/>
        <w:jc w:val="center"/>
        <w:rPr>
          <w:rFonts w:ascii="方正小标宋简体" w:hAnsi="华文中宋" w:eastAsia="方正小标宋简体" w:cs="宋体"/>
          <w:b/>
          <w:bCs/>
          <w:color w:val="000000"/>
          <w:kern w:val="0"/>
          <w:sz w:val="36"/>
          <w:szCs w:val="36"/>
        </w:rPr>
      </w:pPr>
    </w:p>
    <w:p>
      <w:pPr>
        <w:spacing w:line="380" w:lineRule="exact"/>
        <w:ind w:firstLine="160" w:firstLineChars="50"/>
        <w:rPr>
          <w:rFonts w:ascii="仿宋_GB2312" w:hAnsi="黑体" w:eastAsia="仿宋_GB2312"/>
          <w:sz w:val="32"/>
          <w:szCs w:val="28"/>
        </w:rPr>
      </w:pPr>
      <w:r>
        <w:rPr>
          <w:rFonts w:hint="eastAsia" w:ascii="仿宋_GB2312" w:hAnsi="黑体" w:eastAsia="仿宋_GB2312"/>
          <w:sz w:val="32"/>
          <w:szCs w:val="28"/>
        </w:rPr>
        <w:t>推荐单位名称（公章）：</w:t>
      </w:r>
    </w:p>
    <w:tbl>
      <w:tblPr>
        <w:tblStyle w:val="7"/>
        <w:tblW w:w="14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3274"/>
        <w:gridCol w:w="1933"/>
        <w:gridCol w:w="2319"/>
        <w:gridCol w:w="2268"/>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序号</w:t>
            </w:r>
          </w:p>
        </w:tc>
        <w:tc>
          <w:tcPr>
            <w:tcW w:w="3274"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申报高校</w:t>
            </w:r>
          </w:p>
        </w:tc>
        <w:tc>
          <w:tcPr>
            <w:tcW w:w="1933"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课程名称</w:t>
            </w:r>
          </w:p>
        </w:tc>
        <w:tc>
          <w:tcPr>
            <w:tcW w:w="2319"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课程负责人</w:t>
            </w:r>
          </w:p>
        </w:tc>
        <w:tc>
          <w:tcPr>
            <w:tcW w:w="2268"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专业类代码</w:t>
            </w:r>
          </w:p>
        </w:tc>
        <w:tc>
          <w:tcPr>
            <w:tcW w:w="3261"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推荐类别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1</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2</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3</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4</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9" w:type="dxa"/>
            <w:vAlign w:val="center"/>
          </w:tcPr>
          <w:p>
            <w:pPr>
              <w:spacing w:line="380" w:lineRule="exact"/>
              <w:jc w:val="center"/>
              <w:rPr>
                <w:rFonts w:eastAsia="仿宋_GB2312"/>
                <w:sz w:val="28"/>
                <w:szCs w:val="28"/>
              </w:rPr>
            </w:pPr>
            <w:r>
              <w:rPr>
                <w:rFonts w:eastAsia="仿宋_GB2312"/>
                <w:sz w:val="28"/>
                <w:szCs w:val="28"/>
              </w:rPr>
              <w:t>5</w:t>
            </w:r>
          </w:p>
        </w:tc>
        <w:tc>
          <w:tcPr>
            <w:tcW w:w="3274" w:type="dxa"/>
          </w:tcPr>
          <w:p>
            <w:pPr>
              <w:spacing w:line="380" w:lineRule="exact"/>
              <w:rPr>
                <w:rFonts w:ascii="仿宋_GB2312" w:eastAsia="仿宋_GB2312"/>
                <w:sz w:val="28"/>
                <w:szCs w:val="28"/>
              </w:rPr>
            </w:pPr>
          </w:p>
        </w:tc>
        <w:tc>
          <w:tcPr>
            <w:tcW w:w="1933" w:type="dxa"/>
          </w:tcPr>
          <w:p>
            <w:pPr>
              <w:spacing w:line="380" w:lineRule="exact"/>
              <w:rPr>
                <w:rFonts w:ascii="仿宋_GB2312" w:eastAsia="仿宋_GB2312"/>
                <w:sz w:val="28"/>
                <w:szCs w:val="28"/>
              </w:rPr>
            </w:pPr>
          </w:p>
        </w:tc>
        <w:tc>
          <w:tcPr>
            <w:tcW w:w="2319" w:type="dxa"/>
          </w:tcPr>
          <w:p>
            <w:pPr>
              <w:spacing w:line="380" w:lineRule="exact"/>
              <w:rPr>
                <w:rFonts w:ascii="仿宋_GB2312" w:eastAsia="仿宋_GB2312"/>
                <w:sz w:val="28"/>
                <w:szCs w:val="28"/>
              </w:rPr>
            </w:pPr>
          </w:p>
        </w:tc>
        <w:tc>
          <w:tcPr>
            <w:tcW w:w="2268" w:type="dxa"/>
          </w:tcPr>
          <w:p>
            <w:pPr>
              <w:spacing w:line="380" w:lineRule="exact"/>
              <w:rPr>
                <w:rFonts w:ascii="仿宋_GB2312" w:eastAsia="仿宋_GB2312"/>
                <w:sz w:val="28"/>
                <w:szCs w:val="28"/>
              </w:rPr>
            </w:pPr>
          </w:p>
        </w:tc>
        <w:tc>
          <w:tcPr>
            <w:tcW w:w="3261" w:type="dxa"/>
          </w:tcPr>
          <w:p>
            <w:pPr>
              <w:spacing w:line="380" w:lineRule="exact"/>
              <w:rPr>
                <w:rFonts w:ascii="仿宋_GB2312" w:eastAsia="仿宋_GB2312"/>
                <w:sz w:val="28"/>
                <w:szCs w:val="28"/>
              </w:rPr>
            </w:pPr>
          </w:p>
        </w:tc>
      </w:tr>
    </w:tbl>
    <w:p>
      <w:pPr>
        <w:spacing w:line="380" w:lineRule="exact"/>
        <w:ind w:firstLine="420" w:firstLineChars="200"/>
        <w:rPr>
          <w:rFonts w:ascii="仿宋_GB2312" w:eastAsia="仿宋_GB2312"/>
        </w:rPr>
      </w:pPr>
      <w:r>
        <w:rPr>
          <w:rFonts w:hint="eastAsia" w:ascii="仿宋_GB2312" w:eastAsia="仿宋_GB2312"/>
        </w:rPr>
        <w:t>说明：</w:t>
      </w:r>
    </w:p>
    <w:p>
      <w:pPr>
        <w:spacing w:line="380" w:lineRule="exact"/>
        <w:ind w:firstLine="420" w:firstLineChars="200"/>
        <w:rPr>
          <w:rFonts w:eastAsia="仿宋_GB2312"/>
        </w:rPr>
      </w:pPr>
      <w:r>
        <w:rPr>
          <w:rFonts w:eastAsia="仿宋_GB2312"/>
        </w:rPr>
        <w:t>1. 此汇总表在“工作网”平台上生成，由教育部直属高校、中央有关部门教育司（局）或省级教育行政部门打印后与其他需要提交的材料一并上报。</w:t>
      </w:r>
    </w:p>
    <w:p>
      <w:pPr>
        <w:spacing w:line="380" w:lineRule="exact"/>
        <w:ind w:firstLine="420" w:firstLineChars="200"/>
        <w:rPr>
          <w:rFonts w:eastAsia="仿宋_GB2312"/>
        </w:rPr>
      </w:pPr>
      <w:r>
        <w:rPr>
          <w:rFonts w:eastAsia="仿宋_GB2312"/>
        </w:rPr>
        <w:t>2. 专业类代码指《普通高等学校本科专业目录（2012年</w:t>
      </w:r>
      <w:r>
        <w:rPr>
          <w:rFonts w:hint="eastAsia" w:eastAsia="仿宋_GB2312"/>
        </w:rPr>
        <w:t>）</w:t>
      </w:r>
      <w:r>
        <w:rPr>
          <w:rFonts w:eastAsia="仿宋_GB2312"/>
        </w:rPr>
        <w:t>》，没有对应学科专业的课程，填写“0000”。</w:t>
      </w:r>
    </w:p>
    <w:p>
      <w:pPr>
        <w:spacing w:line="380" w:lineRule="exact"/>
        <w:ind w:firstLine="420" w:firstLineChars="200"/>
      </w:pPr>
      <w:r>
        <w:rPr>
          <w:rFonts w:eastAsia="仿宋_GB2312"/>
        </w:rPr>
        <w:t>3. 推荐类别为“线下一流课程”“线上线下混合式一流课程”“社会实践一流课程”中的一种。</w:t>
      </w: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ind w:firstLine="640" w:firstLineChars="200"/>
        <w:rPr>
          <w:rFonts w:ascii="仿宋" w:hAnsi="仿宋" w:eastAsia="仿宋" w:cs="Times New Roman"/>
          <w:kern w:val="2"/>
          <w:sz w:val="32"/>
          <w:szCs w:val="32"/>
        </w:rPr>
        <w:sectPr>
          <w:footerReference r:id="rId5" w:type="default"/>
          <w:pgSz w:w="16838" w:h="11906" w:orient="landscape"/>
          <w:pgMar w:top="1797" w:right="1440" w:bottom="1797" w:left="1440" w:header="851" w:footer="992" w:gutter="0"/>
          <w:pgNumType w:fmt="decimal"/>
          <w:cols w:space="425" w:num="1"/>
          <w:docGrid w:linePitch="312" w:charSpace="0"/>
        </w:sect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r>
        <w:rPr>
          <w:rFonts w:hint="eastAsia" w:ascii="仿宋" w:hAnsi="仿宋" w:eastAsia="仿宋" w:cs="Times New Roman"/>
          <w:kern w:val="2"/>
          <w:sz w:val="32"/>
          <w:szCs w:val="32"/>
        </w:rPr>
        <w:t>附件2</w:t>
      </w:r>
    </w:p>
    <w:p>
      <w:pPr>
        <w:adjustRightInd w:val="0"/>
        <w:snapToGrid w:val="0"/>
        <w:spacing w:line="560" w:lineRule="exact"/>
        <w:jc w:val="center"/>
        <w:rPr>
          <w:rFonts w:ascii="方正小标宋简体" w:eastAsia="方正小标宋简体"/>
          <w:sz w:val="44"/>
          <w:szCs w:val="44"/>
        </w:rPr>
      </w:pP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教育部关于一流本科课程</w:t>
      </w:r>
      <w:r>
        <w:rPr>
          <w:rFonts w:ascii="方正小标宋简体" w:eastAsia="方正小标宋简体"/>
          <w:sz w:val="44"/>
          <w:szCs w:val="44"/>
        </w:rPr>
        <w:t>建设</w:t>
      </w:r>
      <w:r>
        <w:rPr>
          <w:rFonts w:hint="eastAsia" w:ascii="方正小标宋简体" w:eastAsia="方正小标宋简体"/>
          <w:sz w:val="44"/>
          <w:szCs w:val="44"/>
        </w:rPr>
        <w:t>的实施意见</w:t>
      </w:r>
    </w:p>
    <w:p>
      <w:pPr>
        <w:adjustRightInd w:val="0"/>
        <w:snapToGrid w:val="0"/>
        <w:spacing w:line="560" w:lineRule="exact"/>
        <w:ind w:firstLine="640" w:firstLineChars="200"/>
        <w:rPr>
          <w:rFonts w:ascii="楷体_GB2312" w:eastAsia="楷体_GB2312"/>
          <w:sz w:val="32"/>
          <w:szCs w:val="32"/>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各省、自治区、直辖市教育厅（教委）,新疆生产建设兵团教育局,有关</w:t>
      </w:r>
      <w:r>
        <w:rPr>
          <w:rFonts w:ascii="仿宋_GB2312" w:eastAsia="仿宋_GB2312"/>
          <w:sz w:val="32"/>
          <w:szCs w:val="32"/>
        </w:rPr>
        <w:t>部门（</w:t>
      </w:r>
      <w:r>
        <w:rPr>
          <w:rFonts w:hint="eastAsia" w:ascii="仿宋_GB2312" w:eastAsia="仿宋_GB2312"/>
          <w:sz w:val="32"/>
          <w:szCs w:val="32"/>
        </w:rPr>
        <w:t>单位</w:t>
      </w:r>
      <w:r>
        <w:rPr>
          <w:rFonts w:ascii="仿宋_GB2312" w:eastAsia="仿宋_GB2312"/>
          <w:sz w:val="32"/>
          <w:szCs w:val="32"/>
        </w:rPr>
        <w:t>）</w:t>
      </w:r>
      <w:r>
        <w:rPr>
          <w:rFonts w:hint="eastAsia" w:ascii="仿宋_GB2312" w:eastAsia="仿宋_GB2312"/>
          <w:sz w:val="32"/>
          <w:szCs w:val="32"/>
        </w:rPr>
        <w:t>教育司</w:t>
      </w:r>
      <w:r>
        <w:rPr>
          <w:rFonts w:ascii="仿宋_GB2312" w:eastAsia="仿宋_GB2312"/>
          <w:sz w:val="32"/>
          <w:szCs w:val="32"/>
        </w:rPr>
        <w:t>（</w:t>
      </w:r>
      <w:r>
        <w:rPr>
          <w:rFonts w:hint="eastAsia" w:ascii="仿宋_GB2312" w:eastAsia="仿宋_GB2312"/>
          <w:sz w:val="32"/>
          <w:szCs w:val="32"/>
        </w:rPr>
        <w:t>局</w:t>
      </w:r>
      <w:r>
        <w:rPr>
          <w:rFonts w:ascii="仿宋_GB2312" w:eastAsia="仿宋_GB2312"/>
          <w:sz w:val="32"/>
          <w:szCs w:val="32"/>
        </w:rPr>
        <w:t>）</w:t>
      </w:r>
      <w:r>
        <w:rPr>
          <w:rFonts w:hint="eastAsia" w:ascii="仿宋_GB2312" w:eastAsia="仿宋_GB2312"/>
          <w:sz w:val="32"/>
          <w:szCs w:val="32"/>
        </w:rPr>
        <w:t>，部属各高等学校、部省合建</w:t>
      </w:r>
      <w:r>
        <w:rPr>
          <w:rFonts w:ascii="仿宋_GB2312" w:eastAsia="仿宋_GB2312"/>
          <w:sz w:val="32"/>
          <w:szCs w:val="32"/>
        </w:rPr>
        <w:t>各高等学校</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课程是人才培养的核心要素，课程质量直接决定人才培养质量。为贯彻落实习近平总书记关于教育的重要论述和全国教育大会精神，落实新时代全国高等学校本科教育工作会议要求，必须深化教育教学改革，必须把教学改革成果落实到课程建设上。</w:t>
      </w:r>
      <w:r>
        <w:rPr>
          <w:rFonts w:ascii="仿宋_GB2312" w:eastAsia="仿宋_GB2312"/>
          <w:sz w:val="32"/>
          <w:szCs w:val="32"/>
        </w:rPr>
        <w:t>现就</w:t>
      </w:r>
      <w:r>
        <w:rPr>
          <w:rFonts w:hint="eastAsia" w:ascii="仿宋_GB2312" w:eastAsia="仿宋_GB2312"/>
          <w:sz w:val="32"/>
          <w:szCs w:val="32"/>
        </w:rPr>
        <w:t>一流本科课程建设提出如下实施意见。</w:t>
      </w:r>
    </w:p>
    <w:p>
      <w:pPr>
        <w:pStyle w:val="2"/>
        <w:adjustRightInd w:val="0"/>
        <w:snapToGrid w:val="0"/>
        <w:spacing w:before="0" w:after="0" w:line="560" w:lineRule="exact"/>
        <w:ind w:firstLine="640" w:firstLineChars="200"/>
        <w:rPr>
          <w:rFonts w:ascii="黑体" w:hAnsi="黑体" w:eastAsia="黑体" w:cs="黑体"/>
          <w:b w:val="0"/>
          <w:bCs w:val="0"/>
          <w:sz w:val="32"/>
        </w:rPr>
      </w:pPr>
      <w:r>
        <w:rPr>
          <w:rFonts w:hint="eastAsia" w:ascii="黑体" w:hAnsi="黑体" w:eastAsia="黑体" w:cs="黑体"/>
          <w:b w:val="0"/>
          <w:bCs w:val="0"/>
          <w:sz w:val="32"/>
        </w:rPr>
        <w:t>一、总体要求</w:t>
      </w:r>
    </w:p>
    <w:p>
      <w:pPr>
        <w:pStyle w:val="2"/>
        <w:adjustRightInd w:val="0"/>
        <w:snapToGrid w:val="0"/>
        <w:spacing w:before="0" w:after="0" w:line="560" w:lineRule="exact"/>
        <w:ind w:firstLine="643" w:firstLineChars="200"/>
        <w:rPr>
          <w:rFonts w:ascii="楷体" w:hAnsi="楷体" w:eastAsia="楷体" w:cs="楷体"/>
          <w:sz w:val="32"/>
        </w:rPr>
      </w:pPr>
      <w:r>
        <w:rPr>
          <w:rFonts w:hint="eastAsia" w:ascii="楷体" w:hAnsi="楷体" w:eastAsia="楷体" w:cs="楷体"/>
          <w:sz w:val="32"/>
        </w:rPr>
        <w:t>（一）指导思想</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以习近平新时代中国特色社会主义思想为指导，贯彻落实党的十九大精神，落实立德树人根本任务，把立德树人成效作为检验高校一切工作的根本标准，深入挖掘各类课程和教学方式中蕴含的思想政治教育元素，建设适应新时代要求的一流本科课程，让课程优起来、教师强起来、学生忙起来、管理严起来、效果实起来，形成中国特色、世界水平的一流本科课程体系，构建更高水平人才培养体系。</w:t>
      </w:r>
    </w:p>
    <w:p>
      <w:pPr>
        <w:pStyle w:val="2"/>
        <w:adjustRightInd w:val="0"/>
        <w:snapToGrid w:val="0"/>
        <w:spacing w:before="0" w:after="0" w:line="560" w:lineRule="exact"/>
        <w:ind w:firstLine="643" w:firstLineChars="200"/>
        <w:rPr>
          <w:rFonts w:ascii="楷体" w:hAnsi="楷体" w:eastAsia="楷体" w:cs="楷体"/>
          <w:sz w:val="32"/>
        </w:rPr>
      </w:pPr>
      <w:r>
        <w:rPr>
          <w:rFonts w:hint="eastAsia" w:ascii="楷体" w:hAnsi="楷体" w:eastAsia="楷体" w:cs="楷体"/>
          <w:sz w:val="32"/>
        </w:rPr>
        <w:t>（二）总体目标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全面开展一流本科课程建设，树立课程建设新理念，推进课程改革创新，实施科学课程评价，严格课程管理，</w:t>
      </w:r>
      <w:r>
        <w:rPr>
          <w:rFonts w:ascii="仿宋_GB2312" w:eastAsia="仿宋_GB2312"/>
          <w:sz w:val="32"/>
          <w:szCs w:val="32"/>
        </w:rPr>
        <w:t>立起教授上课、消灭</w:t>
      </w:r>
      <w:r>
        <w:rPr>
          <w:rFonts w:hint="eastAsia" w:ascii="仿宋_GB2312" w:eastAsia="仿宋_GB2312"/>
          <w:sz w:val="32"/>
          <w:szCs w:val="32"/>
        </w:rPr>
        <w:t>“</w:t>
      </w:r>
      <w:r>
        <w:rPr>
          <w:rFonts w:ascii="仿宋_GB2312" w:eastAsia="仿宋_GB2312"/>
          <w:sz w:val="32"/>
          <w:szCs w:val="32"/>
        </w:rPr>
        <w:t>水课</w:t>
      </w:r>
      <w:r>
        <w:rPr>
          <w:rFonts w:hint="eastAsia" w:ascii="仿宋_GB2312" w:eastAsia="仿宋_GB2312"/>
          <w:sz w:val="32"/>
          <w:szCs w:val="32"/>
        </w:rPr>
        <w:t>”</w:t>
      </w:r>
      <w:r>
        <w:rPr>
          <w:rFonts w:ascii="仿宋_GB2312" w:eastAsia="仿宋_GB2312"/>
          <w:sz w:val="32"/>
          <w:szCs w:val="32"/>
        </w:rPr>
        <w:t>、取消</w:t>
      </w:r>
      <w:r>
        <w:rPr>
          <w:rFonts w:hint="eastAsia" w:ascii="仿宋_GB2312" w:eastAsia="仿宋_GB2312"/>
          <w:sz w:val="32"/>
          <w:szCs w:val="32"/>
        </w:rPr>
        <w:t>“</w:t>
      </w:r>
      <w:r>
        <w:rPr>
          <w:rFonts w:ascii="仿宋_GB2312" w:eastAsia="仿宋_GB2312"/>
          <w:sz w:val="32"/>
          <w:szCs w:val="32"/>
        </w:rPr>
        <w:t>清考</w:t>
      </w:r>
      <w:r>
        <w:rPr>
          <w:rFonts w:hint="eastAsia" w:ascii="仿宋_GB2312" w:eastAsia="仿宋_GB2312"/>
          <w:sz w:val="32"/>
          <w:szCs w:val="32"/>
        </w:rPr>
        <w:t>”等</w:t>
      </w:r>
      <w:r>
        <w:rPr>
          <w:rFonts w:ascii="仿宋_GB2312" w:eastAsia="仿宋_GB2312"/>
          <w:sz w:val="32"/>
          <w:szCs w:val="32"/>
        </w:rPr>
        <w:t>硬规矩</w:t>
      </w:r>
      <w:r>
        <w:rPr>
          <w:rFonts w:hint="eastAsia" w:ascii="仿宋_GB2312" w:eastAsia="仿宋_GB2312"/>
          <w:sz w:val="32"/>
          <w:szCs w:val="32"/>
        </w:rPr>
        <w:t>，夯实基层教学组织，提高教师教学能力，</w:t>
      </w:r>
      <w:r>
        <w:rPr>
          <w:rFonts w:ascii="仿宋_GB2312" w:eastAsia="仿宋_GB2312"/>
          <w:sz w:val="32"/>
          <w:szCs w:val="32"/>
        </w:rPr>
        <w:t>完善</w:t>
      </w:r>
      <w:r>
        <w:rPr>
          <w:rFonts w:hint="eastAsia" w:ascii="仿宋_GB2312" w:eastAsia="仿宋_GB2312"/>
          <w:sz w:val="32"/>
          <w:szCs w:val="32"/>
        </w:rPr>
        <w:t>以质量为导向的课程建设激励机制，形成多类型、多样化的教学内容与课程体系。经过三年左右时间，</w:t>
      </w:r>
      <w:r>
        <w:rPr>
          <w:rFonts w:ascii="仿宋_GB2312" w:eastAsia="仿宋_GB2312"/>
          <w:sz w:val="32"/>
          <w:szCs w:val="32"/>
        </w:rPr>
        <w:t>建</w:t>
      </w:r>
      <w:r>
        <w:rPr>
          <w:rFonts w:hint="eastAsia" w:ascii="仿宋_GB2312" w:eastAsia="仿宋_GB2312"/>
          <w:sz w:val="32"/>
          <w:szCs w:val="32"/>
        </w:rPr>
        <w:t>成</w:t>
      </w:r>
      <w:r>
        <w:rPr>
          <w:rFonts w:ascii="仿宋_GB2312" w:eastAsia="仿宋_GB2312"/>
          <w:sz w:val="32"/>
          <w:szCs w:val="32"/>
        </w:rPr>
        <w:t>万门左右国家级和万门左右省级一流</w:t>
      </w:r>
      <w:r>
        <w:rPr>
          <w:rFonts w:hint="eastAsia" w:ascii="仿宋_GB2312" w:eastAsia="仿宋_GB2312"/>
          <w:sz w:val="32"/>
          <w:szCs w:val="32"/>
        </w:rPr>
        <w:t>本科</w:t>
      </w:r>
      <w:r>
        <w:rPr>
          <w:rFonts w:ascii="仿宋_GB2312" w:eastAsia="仿宋_GB2312"/>
          <w:sz w:val="32"/>
          <w:szCs w:val="32"/>
        </w:rPr>
        <w:t>课程</w:t>
      </w:r>
      <w:r>
        <w:rPr>
          <w:rFonts w:hint="eastAsia" w:ascii="仿宋_GB2312" w:eastAsia="仿宋_GB2312"/>
          <w:sz w:val="32"/>
          <w:szCs w:val="32"/>
        </w:rPr>
        <w:t>（简称一流本科课程“双万计划”）。</w:t>
      </w:r>
    </w:p>
    <w:p>
      <w:pPr>
        <w:pStyle w:val="2"/>
        <w:adjustRightInd w:val="0"/>
        <w:snapToGrid w:val="0"/>
        <w:spacing w:before="0" w:after="0" w:line="560" w:lineRule="exact"/>
        <w:ind w:firstLine="643" w:firstLineChars="200"/>
        <w:rPr>
          <w:rFonts w:ascii="楷体" w:hAnsi="楷体" w:eastAsia="楷体" w:cs="楷体"/>
          <w:sz w:val="32"/>
        </w:rPr>
      </w:pPr>
      <w:r>
        <w:rPr>
          <w:rFonts w:hint="eastAsia" w:ascii="楷体" w:hAnsi="楷体" w:eastAsia="楷体" w:cs="楷体"/>
          <w:sz w:val="32"/>
        </w:rPr>
        <w:t>（三）基本原则</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——坚持分类建设。</w:t>
      </w:r>
      <w:r>
        <w:rPr>
          <w:rFonts w:hint="eastAsia" w:ascii="仿宋_GB2312" w:eastAsia="仿宋_GB2312"/>
          <w:sz w:val="32"/>
          <w:szCs w:val="32"/>
        </w:rPr>
        <w:t>依据高校办学定位和人才培养目标定位，建设适应创新型、复合型、应用型人才培养需要的一流本科课程，实现不同类型高校一流本科课程建设全覆盖。</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——坚持扶强扶特。</w:t>
      </w:r>
      <w:r>
        <w:rPr>
          <w:rFonts w:hint="eastAsia" w:ascii="仿宋_GB2312" w:hAnsi="微软雅黑" w:eastAsia="仿宋_GB2312"/>
          <w:bCs/>
          <w:kern w:val="24"/>
          <w:sz w:val="32"/>
          <w:szCs w:val="32"/>
        </w:rPr>
        <w:t>着力引导“双一流”建设高校、部省合建高校发挥引领示范作用，重点打造一批高水平课程，为卓越拔尖人才培养提供有力支撑。</w:t>
      </w:r>
      <w:r>
        <w:rPr>
          <w:rFonts w:hint="eastAsia" w:ascii="仿宋_GB2312" w:eastAsia="仿宋_GB2312"/>
          <w:sz w:val="32"/>
          <w:szCs w:val="32"/>
        </w:rPr>
        <w:t>重点支持已有建设基础、取得明显教学成效的课程，让优的更优、强的更强。重视特色课程建设，实现一流本科课程多样化。</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——提升高阶性。</w:t>
      </w:r>
      <w:r>
        <w:rPr>
          <w:rFonts w:hint="eastAsia" w:ascii="仿宋_GB2312" w:eastAsia="仿宋_GB2312"/>
          <w:sz w:val="32"/>
          <w:szCs w:val="32"/>
        </w:rPr>
        <w:t>课程目标坚持知识、能力、素质有机融合，培养学生解决复杂问题的综合能力和高级思维。课程内容强调广度和深度，突破习惯性认知模式，培养学生深度分析、大胆质疑、勇于创新的精神和能力。</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——突出创新性。</w:t>
      </w:r>
      <w:r>
        <w:rPr>
          <w:rFonts w:hint="eastAsia" w:ascii="仿宋_GB2312" w:eastAsia="仿宋_GB2312"/>
          <w:sz w:val="32"/>
          <w:szCs w:val="32"/>
        </w:rPr>
        <w:t>教学内容体现前沿性与时代性，及时将学术研究、科技发展前沿成果引入课程。教学方法体现先进性与互动性，大力推进现代信息技术与教学深度融合，积极引导学生进行探究式与个性化学习。</w:t>
      </w:r>
    </w:p>
    <w:p>
      <w:pPr>
        <w:adjustRightInd w:val="0"/>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——增加挑战度。</w:t>
      </w:r>
      <w:r>
        <w:rPr>
          <w:rFonts w:hint="eastAsia" w:ascii="仿宋_GB2312" w:eastAsia="仿宋_GB2312"/>
          <w:sz w:val="32"/>
          <w:szCs w:val="32"/>
        </w:rPr>
        <w:t>课程设计增加研究性、创新性、综合性内容，</w:t>
      </w:r>
      <w:r>
        <w:rPr>
          <w:rStyle w:val="11"/>
          <w:rFonts w:hint="eastAsia" w:ascii="仿宋_GB2312" w:hAnsi="楷体" w:eastAsia="仿宋_GB2312"/>
        </w:rPr>
        <w:t>加大学生学习投入，科学“增负”，</w:t>
      </w:r>
      <w:r>
        <w:rPr>
          <w:rFonts w:hint="eastAsia" w:ascii="仿宋_GB2312" w:eastAsia="仿宋_GB2312"/>
          <w:sz w:val="32"/>
          <w:szCs w:val="32"/>
        </w:rPr>
        <w:t>让学生体验“跳一跳才能够得着”的学习挑战。严格考核考试评价，增强学生经过刻苦学习收获能力和素质提高的成就感。</w:t>
      </w:r>
    </w:p>
    <w:p>
      <w:pPr>
        <w:adjustRightInd w:val="0"/>
        <w:snapToGrid w:val="0"/>
        <w:spacing w:line="560" w:lineRule="exact"/>
        <w:ind w:firstLine="640" w:firstLineChars="200"/>
        <w:rPr>
          <w:rFonts w:ascii="黑体" w:hAnsi="黑体" w:eastAsia="黑体" w:cs="黑体"/>
          <w:bCs/>
          <w:sz w:val="32"/>
        </w:rPr>
      </w:pPr>
      <w:r>
        <w:rPr>
          <w:rFonts w:hint="eastAsia" w:ascii="黑体" w:hAnsi="黑体" w:eastAsia="黑体" w:cs="黑体"/>
          <w:bCs/>
          <w:sz w:val="32"/>
        </w:rPr>
        <w:t>二、建设内容</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（一）</w:t>
      </w:r>
      <w:r>
        <w:rPr>
          <w:rStyle w:val="12"/>
          <w:rFonts w:ascii="楷体" w:hAnsi="楷体" w:eastAsia="楷体"/>
        </w:rPr>
        <w:t>转变观念</w:t>
      </w:r>
      <w:r>
        <w:rPr>
          <w:rStyle w:val="12"/>
          <w:rFonts w:hint="eastAsia" w:ascii="楷体" w:hAnsi="楷体" w:eastAsia="楷体"/>
        </w:rPr>
        <w:t>，</w:t>
      </w:r>
      <w:r>
        <w:rPr>
          <w:rStyle w:val="12"/>
          <w:rFonts w:ascii="楷体" w:hAnsi="楷体" w:eastAsia="楷体"/>
        </w:rPr>
        <w:t>理念新起来</w:t>
      </w:r>
      <w:r>
        <w:rPr>
          <w:rStyle w:val="12"/>
          <w:rFonts w:hint="eastAsia" w:ascii="楷体" w:hAnsi="楷体" w:eastAsia="楷体"/>
        </w:rPr>
        <w:t>。</w:t>
      </w:r>
      <w:r>
        <w:rPr>
          <w:rFonts w:hint="eastAsia" w:ascii="仿宋_GB2312" w:eastAsia="仿宋_GB2312"/>
          <w:sz w:val="32"/>
          <w:szCs w:val="32"/>
        </w:rPr>
        <w:t>以新理念引领一流本科课程建设。牢固树立“三个不合格”理念，竖起“高压线”，不抓本科教育的高校不是合格的高校，不重视本科教育的书记校长不是合格的书记校长，不参与本科教学的教授不是合格的教授。推动课程思政的理念形成广泛共识，构建全员全程全方位育人大格局。确立学生中心、产出导向、持续改进的理念，提升课程的高阶性，突出课程的创新性，增加课程的挑战度。</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（二）目标导向，课程优起来。</w:t>
      </w:r>
      <w:r>
        <w:rPr>
          <w:rStyle w:val="11"/>
          <w:rFonts w:hint="eastAsia" w:ascii="仿宋_GB2312" w:hAnsi="楷体" w:eastAsia="仿宋_GB2312"/>
        </w:rPr>
        <w:t>以目标为导向加强课程建设。立足经济社会发展需求和人才培养目标，优化重构教学内容与课程体</w:t>
      </w:r>
      <w:r>
        <w:rPr>
          <w:rFonts w:hint="eastAsia" w:ascii="仿宋_GB2312" w:eastAsia="仿宋_GB2312"/>
          <w:sz w:val="32"/>
          <w:szCs w:val="32"/>
        </w:rPr>
        <w:t>系，破除课程千校一面，杜绝必修课因人设课，淘汰“水课”，立起课程建设新标杆。“双一流”建设高校、部省合建高校要明确要求两院院士、国家“千人计划”“万人计划”专家、“长江学者奖励计划”入选者、国家杰出青年科学基金获得者等高层次人才建设名课、讲授基础课和专业基础课，建设一批中国特色、世界水平的一流本科课程。聚焦新工科、新医科、新农科、新文科建设，体现多学科思维融合、产业技术与学科理论融合、跨专业能力融合、多学科项目实践融合，建设一批培养创新型、复合型人才的一流本科课程。服务区域经济社会发展主战场，深化产教融合协同育人，建设一批培养应用型人才的一流本科课程。</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（三）</w:t>
      </w:r>
      <w:r>
        <w:rPr>
          <w:rStyle w:val="12"/>
          <w:rFonts w:ascii="楷体" w:hAnsi="楷体" w:eastAsia="楷体"/>
        </w:rPr>
        <w:t>提升能力</w:t>
      </w:r>
      <w:r>
        <w:rPr>
          <w:rStyle w:val="12"/>
          <w:rFonts w:hint="eastAsia" w:ascii="楷体" w:hAnsi="楷体" w:eastAsia="楷体"/>
        </w:rPr>
        <w:t>，</w:t>
      </w:r>
      <w:r>
        <w:rPr>
          <w:rStyle w:val="12"/>
          <w:rFonts w:ascii="楷体" w:hAnsi="楷体" w:eastAsia="楷体"/>
        </w:rPr>
        <w:t>教师强起来</w:t>
      </w:r>
      <w:r>
        <w:rPr>
          <w:rStyle w:val="12"/>
          <w:rFonts w:hint="eastAsia" w:ascii="楷体" w:hAnsi="楷体" w:eastAsia="楷体"/>
        </w:rPr>
        <w:t>。</w:t>
      </w:r>
      <w:r>
        <w:rPr>
          <w:rFonts w:hint="eastAsia" w:ascii="仿宋_GB2312" w:eastAsia="仿宋_GB2312"/>
          <w:sz w:val="32"/>
          <w:szCs w:val="32"/>
        </w:rPr>
        <w:t>以培养培训为关键点提升教师教学能力。高校要实现基层教学组织全覆盖，教师全员纳入基层教学组织，强化教学研究，定期集体备课、研讨课程设计，加强教学梯队建设，完善助教制度，发挥好“传帮带”作用。实现青年教师上岗培训全覆盖，新入职教师必须经过助课、试讲、考核等环节，获得教师教学发展中心等学校培训部门颁发的证书，方可主讲课程。实现教师职业培训、终身学习全覆盖，推动教师培训常态化，将培训学分作为教师资格定期注册、教师考核的必备条件。</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（四）</w:t>
      </w:r>
      <w:r>
        <w:rPr>
          <w:rStyle w:val="12"/>
          <w:rFonts w:ascii="楷体" w:hAnsi="楷体" w:eastAsia="楷体"/>
        </w:rPr>
        <w:t>改革方法</w:t>
      </w:r>
      <w:r>
        <w:rPr>
          <w:rStyle w:val="12"/>
          <w:rFonts w:hint="eastAsia" w:ascii="楷体" w:hAnsi="楷体" w:eastAsia="楷体"/>
        </w:rPr>
        <w:t>，</w:t>
      </w:r>
      <w:r>
        <w:rPr>
          <w:rStyle w:val="12"/>
          <w:rFonts w:ascii="楷体" w:hAnsi="楷体" w:eastAsia="楷体"/>
        </w:rPr>
        <w:t>课堂活起来</w:t>
      </w:r>
      <w:r>
        <w:rPr>
          <w:rStyle w:val="12"/>
          <w:rFonts w:hint="eastAsia" w:ascii="楷体" w:hAnsi="楷体" w:eastAsia="楷体"/>
        </w:rPr>
        <w:t>。</w:t>
      </w:r>
      <w:r>
        <w:rPr>
          <w:rFonts w:hint="eastAsia" w:ascii="仿宋_GB2312" w:eastAsia="仿宋_GB2312"/>
          <w:sz w:val="32"/>
          <w:szCs w:val="32"/>
        </w:rPr>
        <w:t>以提升教学效果为目的创新教学方法。强化课堂设计，解决好怎么讲好课的问题，杜绝单纯知识传递、忽视能力素质培养的现象。强化现代信息技术与教育教学深度融合，解决好教与学模式创新的问题，杜绝信息技术应用的简单化、形式化。强化师生互动、生生互动，解决好创新性、批判性思维培养的问题，杜绝教师满堂灌、学生被动听的现象。</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（五）</w:t>
      </w:r>
      <w:r>
        <w:rPr>
          <w:rStyle w:val="12"/>
          <w:rFonts w:ascii="楷体" w:hAnsi="楷体" w:eastAsia="楷体"/>
        </w:rPr>
        <w:t>科学评价</w:t>
      </w:r>
      <w:r>
        <w:rPr>
          <w:rStyle w:val="12"/>
          <w:rFonts w:hint="eastAsia" w:ascii="楷体" w:hAnsi="楷体" w:eastAsia="楷体"/>
        </w:rPr>
        <w:t>，</w:t>
      </w:r>
      <w:r>
        <w:rPr>
          <w:rStyle w:val="12"/>
          <w:rFonts w:ascii="楷体" w:hAnsi="楷体" w:eastAsia="楷体"/>
        </w:rPr>
        <w:t>学生忙起来</w:t>
      </w:r>
      <w:r>
        <w:rPr>
          <w:rStyle w:val="12"/>
          <w:rFonts w:hint="eastAsia" w:ascii="楷体" w:hAnsi="楷体" w:eastAsia="楷体"/>
        </w:rPr>
        <w:t>。</w:t>
      </w:r>
      <w:r>
        <w:rPr>
          <w:rFonts w:hint="eastAsia" w:ascii="仿宋_GB2312" w:eastAsia="仿宋_GB2312"/>
          <w:sz w:val="32"/>
          <w:szCs w:val="32"/>
        </w:rPr>
        <w:t>以激发学习动力和专业志趣为着力点</w:t>
      </w:r>
      <w:r>
        <w:rPr>
          <w:rFonts w:ascii="仿宋_GB2312" w:eastAsia="仿宋_GB2312"/>
          <w:sz w:val="32"/>
          <w:szCs w:val="32"/>
        </w:rPr>
        <w:t>完善</w:t>
      </w:r>
      <w:r>
        <w:rPr>
          <w:rFonts w:hint="eastAsia" w:ascii="仿宋_GB2312" w:eastAsia="仿宋_GB2312"/>
          <w:sz w:val="32"/>
          <w:szCs w:val="32"/>
        </w:rPr>
        <w:t>过程评价制度。加强对学生课堂内外、线上线下学习的评价，强化阅读量和阅读能力考查，提升课程学习的广度。加强研究型、项目式学习，丰富探究式、论文式、报告答辩式等作业评价方式，提升课程学习的深度。加强非标准化、综合性等评价，提升课程学习的挑战</w:t>
      </w:r>
      <w:r>
        <w:rPr>
          <w:rFonts w:ascii="仿宋_GB2312" w:eastAsia="仿宋_GB2312"/>
          <w:sz w:val="32"/>
          <w:szCs w:val="32"/>
        </w:rPr>
        <w:t>性</w:t>
      </w:r>
      <w:r>
        <w:rPr>
          <w:rFonts w:hint="eastAsia" w:ascii="仿宋_GB2312" w:eastAsia="仿宋_GB2312"/>
          <w:sz w:val="32"/>
          <w:szCs w:val="32"/>
        </w:rPr>
        <w:t>。“双一流”建设高校、部省合建高校要扩大学生课程学习选择面，强化课程难度与挑战度。</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（六）</w:t>
      </w:r>
      <w:r>
        <w:rPr>
          <w:rStyle w:val="12"/>
          <w:rFonts w:ascii="楷体" w:hAnsi="楷体" w:eastAsia="楷体"/>
        </w:rPr>
        <w:t>强化管理</w:t>
      </w:r>
      <w:r>
        <w:rPr>
          <w:rStyle w:val="12"/>
          <w:rFonts w:hint="eastAsia" w:ascii="楷体" w:hAnsi="楷体" w:eastAsia="楷体"/>
        </w:rPr>
        <w:t>，</w:t>
      </w:r>
      <w:r>
        <w:rPr>
          <w:rStyle w:val="12"/>
          <w:rFonts w:ascii="楷体" w:hAnsi="楷体" w:eastAsia="楷体"/>
        </w:rPr>
        <w:t>制度严起来</w:t>
      </w:r>
      <w:r>
        <w:rPr>
          <w:rStyle w:val="12"/>
          <w:rFonts w:hint="eastAsia" w:ascii="楷体" w:hAnsi="楷体" w:eastAsia="楷体"/>
        </w:rPr>
        <w:t>。</w:t>
      </w:r>
      <w:r>
        <w:rPr>
          <w:rFonts w:hint="eastAsia" w:ascii="仿宋_GB2312" w:eastAsia="仿宋_GB2312"/>
          <w:sz w:val="32"/>
          <w:szCs w:val="32"/>
        </w:rPr>
        <w:t>以提高制度执行力为重点严格课程管理。高等学校要严格执行教授为本科生授课制度，连续三年不承担本科课程的教授、副教授，转出教师系列。严格执行国家对高校的生师比要求，完备师资队伍。严格执行课程准入制度，发挥校内教学指导委员会课程把关作用，拒绝“水课”进课堂。严格考试纪律，严把考试和毕业出口关，坚决取消“清考”。严格课程质量评估，在专业认证、教学评估中增加课程评价权重。</w:t>
      </w:r>
    </w:p>
    <w:p>
      <w:pPr>
        <w:adjustRightInd w:val="0"/>
        <w:snapToGrid w:val="0"/>
        <w:spacing w:line="560" w:lineRule="exact"/>
        <w:ind w:firstLine="643" w:firstLineChars="200"/>
        <w:rPr>
          <w:rFonts w:ascii="仿宋_GB2312" w:eastAsia="仿宋_GB2312"/>
          <w:sz w:val="32"/>
          <w:szCs w:val="32"/>
        </w:rPr>
      </w:pPr>
      <w:r>
        <w:rPr>
          <w:rStyle w:val="12"/>
          <w:rFonts w:hint="eastAsia" w:ascii="楷体" w:hAnsi="楷体" w:eastAsia="楷体"/>
        </w:rPr>
        <w:t>（七）</w:t>
      </w:r>
      <w:r>
        <w:rPr>
          <w:rStyle w:val="12"/>
          <w:rFonts w:ascii="楷体" w:hAnsi="楷体" w:eastAsia="楷体"/>
        </w:rPr>
        <w:t>政策激励</w:t>
      </w:r>
      <w:r>
        <w:rPr>
          <w:rStyle w:val="12"/>
          <w:rFonts w:hint="eastAsia" w:ascii="楷体" w:hAnsi="楷体" w:eastAsia="楷体"/>
        </w:rPr>
        <w:t>，教学热起来。</w:t>
      </w:r>
      <w:r>
        <w:rPr>
          <w:rFonts w:hint="eastAsia" w:ascii="仿宋_GB2312" w:eastAsia="仿宋_GB2312"/>
          <w:sz w:val="32"/>
          <w:szCs w:val="32"/>
        </w:rPr>
        <w:t>以教学贡献为核心内容制定激励政策。加大课程建设的支持力度，加大优秀课程和教师的奖励力度，加大教学业绩在专业技术职务</w:t>
      </w:r>
      <w:r>
        <w:rPr>
          <w:rFonts w:ascii="仿宋_GB2312" w:eastAsia="仿宋_GB2312"/>
          <w:sz w:val="32"/>
          <w:szCs w:val="32"/>
        </w:rPr>
        <w:t>评聘中的权重</w:t>
      </w:r>
      <w:r>
        <w:rPr>
          <w:rFonts w:hint="eastAsia" w:ascii="仿宋_GB2312" w:eastAsia="仿宋_GB2312"/>
          <w:sz w:val="32"/>
          <w:szCs w:val="32"/>
        </w:rPr>
        <w:t>，营造重视本科课程改革与建设的良好氛围。</w:t>
      </w:r>
    </w:p>
    <w:p>
      <w:pPr>
        <w:pStyle w:val="2"/>
        <w:adjustRightInd w:val="0"/>
        <w:snapToGrid w:val="0"/>
        <w:spacing w:before="0" w:after="0" w:line="560" w:lineRule="exact"/>
        <w:ind w:left="640"/>
        <w:rPr>
          <w:rFonts w:ascii="黑体" w:hAnsi="黑体" w:eastAsia="黑体" w:cs="黑体"/>
          <w:b w:val="0"/>
          <w:bCs w:val="0"/>
          <w:sz w:val="32"/>
        </w:rPr>
      </w:pPr>
      <w:r>
        <w:rPr>
          <w:rFonts w:hint="eastAsia" w:ascii="黑体" w:hAnsi="黑体" w:eastAsia="黑体" w:cs="黑体"/>
          <w:b w:val="0"/>
          <w:bCs w:val="0"/>
          <w:sz w:val="32"/>
        </w:rPr>
        <w:t>三、实施一流本科课程双万计划</w:t>
      </w:r>
    </w:p>
    <w:p>
      <w:pPr>
        <w:adjustRightInd w:val="0"/>
        <w:snapToGrid w:val="0"/>
        <w:spacing w:line="560" w:lineRule="exact"/>
        <w:ind w:firstLine="643" w:firstLineChars="200"/>
        <w:rPr>
          <w:rFonts w:ascii="仿宋_GB2312" w:hAnsi="宋体" w:eastAsia="仿宋_GB2312"/>
          <w:sz w:val="32"/>
          <w:szCs w:val="32"/>
        </w:rPr>
      </w:pPr>
      <w:r>
        <w:rPr>
          <w:rStyle w:val="11"/>
          <w:rFonts w:hint="eastAsia" w:ascii="楷体" w:hAnsi="楷体" w:eastAsia="楷体"/>
        </w:rPr>
        <w:t>（一）认定万门左右国家级一流本科课程。</w:t>
      </w:r>
      <w:r>
        <w:rPr>
          <w:rStyle w:val="11"/>
          <w:rFonts w:ascii="仿宋_GB2312" w:hAnsi="楷体" w:eastAsia="仿宋_GB2312"/>
        </w:rPr>
        <w:t>注重创新型、复合型、应用型人才培养课程建设的创新性、示范引领性和推广性</w:t>
      </w:r>
      <w:r>
        <w:rPr>
          <w:rStyle w:val="11"/>
          <w:rFonts w:hint="eastAsia" w:ascii="仿宋_GB2312" w:hAnsi="楷体" w:eastAsia="仿宋_GB2312"/>
        </w:rPr>
        <w:t>，</w:t>
      </w:r>
      <w:r>
        <w:rPr>
          <w:rFonts w:hint="eastAsia" w:ascii="仿宋_GB2312" w:hAnsi="楷体" w:eastAsia="仿宋_GB2312"/>
          <w:sz w:val="32"/>
          <w:szCs w:val="32"/>
        </w:rPr>
        <w:t>在高校培育建设基础上，从</w:t>
      </w:r>
      <w:r>
        <w:rPr>
          <w:rFonts w:eastAsia="仿宋_GB2312"/>
          <w:sz w:val="32"/>
          <w:szCs w:val="32"/>
        </w:rPr>
        <w:t>2019</w:t>
      </w:r>
      <w:r>
        <w:rPr>
          <w:rFonts w:hint="eastAsia" w:ascii="仿宋_GB2312" w:hAnsi="楷体" w:eastAsia="仿宋_GB2312"/>
          <w:sz w:val="32"/>
          <w:szCs w:val="32"/>
        </w:rPr>
        <w:t>年到</w:t>
      </w:r>
      <w:r>
        <w:rPr>
          <w:rFonts w:hint="eastAsia" w:eastAsia="仿宋_GB2312"/>
          <w:sz w:val="32"/>
          <w:szCs w:val="32"/>
        </w:rPr>
        <w:t>2</w:t>
      </w:r>
      <w:r>
        <w:rPr>
          <w:rFonts w:eastAsia="仿宋_GB2312"/>
          <w:sz w:val="32"/>
          <w:szCs w:val="32"/>
        </w:rPr>
        <w:t>021</w:t>
      </w:r>
      <w:r>
        <w:rPr>
          <w:rFonts w:hint="eastAsia" w:ascii="仿宋_GB2312" w:hAnsi="楷体" w:eastAsia="仿宋_GB2312"/>
          <w:sz w:val="32"/>
          <w:szCs w:val="32"/>
        </w:rPr>
        <w:t>年，完成</w:t>
      </w:r>
      <w:r>
        <w:rPr>
          <w:rFonts w:eastAsia="仿宋_GB2312"/>
          <w:sz w:val="32"/>
          <w:szCs w:val="32"/>
        </w:rPr>
        <w:t>4000</w:t>
      </w:r>
      <w:r>
        <w:rPr>
          <w:rFonts w:hint="eastAsia" w:ascii="仿宋_GB2312" w:hAnsi="楷体" w:eastAsia="仿宋_GB2312"/>
          <w:sz w:val="32"/>
          <w:szCs w:val="32"/>
        </w:rPr>
        <w:t>门左右国家级线上一流课程（国家精品在线开放课程）、</w:t>
      </w:r>
      <w:r>
        <w:rPr>
          <w:rFonts w:eastAsia="仿宋_GB2312"/>
          <w:sz w:val="32"/>
          <w:szCs w:val="32"/>
        </w:rPr>
        <w:t>400</w:t>
      </w:r>
      <w:r>
        <w:rPr>
          <w:rFonts w:hint="eastAsia" w:eastAsia="仿宋_GB2312"/>
          <w:sz w:val="32"/>
          <w:szCs w:val="32"/>
        </w:rPr>
        <w:t>0</w:t>
      </w:r>
      <w:r>
        <w:rPr>
          <w:rFonts w:hint="eastAsia" w:ascii="仿宋_GB2312" w:hAnsi="宋体" w:eastAsia="仿宋_GB2312"/>
          <w:sz w:val="32"/>
          <w:szCs w:val="32"/>
        </w:rPr>
        <w:t>门左右国家级线下一流课程、</w:t>
      </w:r>
      <w:r>
        <w:rPr>
          <w:rFonts w:eastAsia="仿宋_GB2312"/>
          <w:sz w:val="32"/>
          <w:szCs w:val="32"/>
        </w:rPr>
        <w:t>6000</w:t>
      </w:r>
      <w:r>
        <w:rPr>
          <w:rFonts w:ascii="仿宋_GB2312" w:hAnsi="宋体" w:eastAsia="仿宋_GB2312"/>
          <w:sz w:val="32"/>
          <w:szCs w:val="32"/>
        </w:rPr>
        <w:t>门左右国家级</w:t>
      </w:r>
      <w:r>
        <w:rPr>
          <w:rFonts w:hint="eastAsia" w:ascii="仿宋_GB2312" w:hAnsi="楷体" w:eastAsia="仿宋_GB2312"/>
          <w:sz w:val="32"/>
          <w:szCs w:val="32"/>
        </w:rPr>
        <w:t>线上线下混合式一流课程、</w:t>
      </w:r>
      <w:r>
        <w:rPr>
          <w:rFonts w:eastAsia="仿宋_GB2312"/>
          <w:sz w:val="32"/>
          <w:szCs w:val="32"/>
        </w:rPr>
        <w:t>1500</w:t>
      </w:r>
      <w:r>
        <w:rPr>
          <w:rFonts w:hint="eastAsia" w:ascii="仿宋_GB2312" w:hAnsi="宋体" w:eastAsia="仿宋_GB2312"/>
          <w:sz w:val="32"/>
          <w:szCs w:val="32"/>
        </w:rPr>
        <w:t>门左右国家虚拟仿真实验教学一流课程、</w:t>
      </w:r>
      <w:r>
        <w:rPr>
          <w:rFonts w:eastAsia="仿宋_GB2312"/>
          <w:sz w:val="32"/>
          <w:szCs w:val="32"/>
        </w:rPr>
        <w:t>10</w:t>
      </w:r>
      <w:r>
        <w:rPr>
          <w:rFonts w:hint="eastAsia" w:eastAsia="仿宋_GB2312"/>
          <w:sz w:val="32"/>
          <w:szCs w:val="32"/>
        </w:rPr>
        <w:t>00</w:t>
      </w:r>
      <w:r>
        <w:rPr>
          <w:rFonts w:hint="eastAsia" w:ascii="仿宋_GB2312" w:hAnsi="宋体" w:eastAsia="仿宋_GB2312"/>
          <w:sz w:val="32"/>
          <w:szCs w:val="32"/>
        </w:rPr>
        <w:t>门左右</w:t>
      </w:r>
      <w:r>
        <w:rPr>
          <w:rFonts w:hint="eastAsia" w:ascii="仿宋_GB2312" w:hAnsi="仿宋" w:eastAsia="仿宋_GB2312" w:cs="仿宋"/>
          <w:kern w:val="0"/>
          <w:sz w:val="32"/>
          <w:szCs w:val="32"/>
        </w:rPr>
        <w:t>国家级</w:t>
      </w:r>
      <w:r>
        <w:rPr>
          <w:rFonts w:hint="eastAsia" w:ascii="仿宋_GB2312" w:hAnsi="宋体" w:eastAsia="仿宋_GB2312"/>
          <w:sz w:val="32"/>
          <w:szCs w:val="32"/>
        </w:rPr>
        <w:t>社会实践一流课程认定工作，具体推荐认定办法见附件。</w:t>
      </w:r>
    </w:p>
    <w:p>
      <w:pPr>
        <w:adjustRightInd w:val="0"/>
        <w:snapToGrid w:val="0"/>
        <w:spacing w:line="560" w:lineRule="exact"/>
        <w:ind w:firstLine="643" w:firstLineChars="200"/>
        <w:rPr>
          <w:rFonts w:ascii="仿宋_GB2312" w:hAnsi="宋体" w:eastAsia="仿宋_GB2312"/>
          <w:sz w:val="32"/>
          <w:szCs w:val="32"/>
        </w:rPr>
      </w:pPr>
      <w:r>
        <w:rPr>
          <w:rStyle w:val="11"/>
          <w:rFonts w:hint="eastAsia" w:ascii="楷体" w:hAnsi="楷体" w:eastAsia="楷体"/>
        </w:rPr>
        <w:t>（二）认定万门左右省级一流本科课程。</w:t>
      </w:r>
      <w:r>
        <w:rPr>
          <w:rFonts w:hint="eastAsia" w:ascii="仿宋_GB2312" w:hAnsi="宋体" w:eastAsia="仿宋_GB2312"/>
          <w:sz w:val="32"/>
          <w:szCs w:val="32"/>
        </w:rPr>
        <w:t>各省级教育行政部门根据区域高等教育改革发展需求，参照本实施意见要求，具体组织实施本地区一流本科课程建设计划。推荐</w:t>
      </w:r>
      <w:r>
        <w:rPr>
          <w:rFonts w:ascii="仿宋_GB2312" w:hAnsi="楷体" w:eastAsia="仿宋_GB2312"/>
          <w:sz w:val="32"/>
          <w:szCs w:val="32"/>
        </w:rPr>
        <w:t>国家级一流课程</w:t>
      </w:r>
      <w:r>
        <w:rPr>
          <w:rFonts w:hint="eastAsia" w:ascii="仿宋_GB2312" w:hAnsi="楷体" w:eastAsia="仿宋_GB2312"/>
          <w:sz w:val="32"/>
          <w:szCs w:val="32"/>
        </w:rPr>
        <w:t>，注重解决本地区高校长期存在的教育教学问题，因地制宜、因校制宜、因课制宜</w:t>
      </w:r>
      <w:r>
        <w:rPr>
          <w:rFonts w:hint="eastAsia" w:ascii="仿宋_GB2312" w:hAnsi="宋体" w:eastAsia="仿宋_GB2312"/>
          <w:sz w:val="32"/>
          <w:szCs w:val="32"/>
        </w:rPr>
        <w:t>建设省级一流本科课程，并报我部备案。</w:t>
      </w:r>
    </w:p>
    <w:p>
      <w:pPr>
        <w:pStyle w:val="2"/>
        <w:adjustRightInd w:val="0"/>
        <w:snapToGrid w:val="0"/>
        <w:spacing w:before="0" w:after="0" w:line="560" w:lineRule="exact"/>
        <w:ind w:left="640"/>
        <w:rPr>
          <w:rFonts w:ascii="黑体" w:hAnsi="黑体" w:eastAsia="黑体" w:cs="黑体"/>
          <w:b w:val="0"/>
          <w:bCs w:val="0"/>
          <w:sz w:val="32"/>
        </w:rPr>
      </w:pPr>
      <w:r>
        <w:rPr>
          <w:rFonts w:hint="eastAsia" w:ascii="黑体" w:hAnsi="黑体" w:eastAsia="黑体" w:cs="黑体"/>
          <w:b w:val="0"/>
          <w:bCs w:val="0"/>
          <w:sz w:val="32"/>
        </w:rPr>
        <w:t>四、组织管理</w:t>
      </w:r>
    </w:p>
    <w:p>
      <w:pPr>
        <w:adjustRightInd w:val="0"/>
        <w:snapToGrid w:val="0"/>
        <w:spacing w:line="560" w:lineRule="exact"/>
        <w:ind w:firstLine="640" w:firstLineChars="200"/>
        <w:rPr>
          <w:rFonts w:ascii="仿宋_GB2312" w:hAnsi="仿宋" w:eastAsia="仿宋_GB2312" w:cs="仿宋"/>
          <w:kern w:val="0"/>
          <w:sz w:val="32"/>
          <w:szCs w:val="32"/>
        </w:rPr>
      </w:pPr>
      <w:r>
        <w:rPr>
          <w:rFonts w:hint="eastAsia" w:ascii="仿宋_GB2312" w:hAnsi="楷体" w:eastAsia="仿宋_GB2312" w:cs="楷体"/>
          <w:sz w:val="32"/>
          <w:szCs w:val="32"/>
        </w:rPr>
        <w:t>（一）教育部负责统筹指导一流本科课程建设工作，</w:t>
      </w:r>
      <w:r>
        <w:rPr>
          <w:rFonts w:hint="eastAsia" w:ascii="仿宋_GB2312" w:hAnsi="宋体" w:eastAsia="仿宋_GB2312"/>
          <w:sz w:val="32"/>
          <w:szCs w:val="32"/>
        </w:rPr>
        <w:t>组织</w:t>
      </w:r>
      <w:r>
        <w:rPr>
          <w:rFonts w:hint="eastAsia" w:ascii="仿宋_GB2312" w:hAnsi="仿宋" w:eastAsia="仿宋_GB2312" w:cs="仿宋"/>
          <w:kern w:val="0"/>
          <w:sz w:val="32"/>
          <w:szCs w:val="32"/>
        </w:rPr>
        <w:t>有关专家和机构研究制定一流本科课程建设、应用与管理的相关标准规范。公布国家级一流本科课程推荐认定结果。</w:t>
      </w:r>
    </w:p>
    <w:p>
      <w:pPr>
        <w:adjustRightInd w:val="0"/>
        <w:snapToGrid w:val="0"/>
        <w:spacing w:line="560" w:lineRule="exact"/>
        <w:ind w:firstLine="640" w:firstLineChars="200"/>
        <w:rPr>
          <w:rFonts w:ascii="仿宋_GB2312" w:hAnsi="仿宋" w:eastAsia="仿宋_GB2312" w:cs="仿宋"/>
          <w:kern w:val="0"/>
          <w:sz w:val="32"/>
          <w:szCs w:val="32"/>
        </w:rPr>
      </w:pPr>
      <w:r>
        <w:rPr>
          <w:rFonts w:hint="eastAsia" w:ascii="仿宋_GB2312" w:hAnsi="宋体" w:eastAsia="仿宋_GB2312"/>
          <w:sz w:val="32"/>
          <w:szCs w:val="32"/>
        </w:rPr>
        <w:t>（二）省级教育行政部门研究制定省级一流本科课程建设实施方案，制定推动本地区</w:t>
      </w:r>
      <w:r>
        <w:rPr>
          <w:rFonts w:hint="eastAsia" w:ascii="仿宋_GB2312" w:hAnsi="仿宋" w:eastAsia="仿宋_GB2312" w:cs="仿宋"/>
          <w:kern w:val="0"/>
          <w:sz w:val="32"/>
          <w:szCs w:val="32"/>
        </w:rPr>
        <w:t>一流本科课程建设与教学改革配套政策，建设</w:t>
      </w:r>
      <w:r>
        <w:rPr>
          <w:rFonts w:hint="eastAsia" w:ascii="仿宋_GB2312" w:hAnsi="宋体" w:eastAsia="仿宋_GB2312"/>
          <w:sz w:val="32"/>
          <w:szCs w:val="32"/>
        </w:rPr>
        <w:t>省级一流本科课程。</w:t>
      </w:r>
      <w:r>
        <w:rPr>
          <w:rFonts w:hint="eastAsia" w:ascii="仿宋_GB2312" w:hAnsi="仿宋" w:eastAsia="仿宋_GB2312" w:cs="仿宋"/>
          <w:kern w:val="0"/>
          <w:sz w:val="32"/>
          <w:szCs w:val="32"/>
        </w:rPr>
        <w:t>加强省级课程服务平台的管理，</w:t>
      </w:r>
      <w:r>
        <w:rPr>
          <w:rFonts w:hint="eastAsia" w:ascii="仿宋_GB2312" w:hAnsi="宋体" w:eastAsia="仿宋_GB2312"/>
          <w:sz w:val="32"/>
          <w:szCs w:val="32"/>
        </w:rPr>
        <w:t>积极</w:t>
      </w:r>
      <w:r>
        <w:rPr>
          <w:rFonts w:hint="eastAsia" w:ascii="仿宋_GB2312" w:hAnsi="仿宋" w:eastAsia="仿宋_GB2312" w:cs="仿宋"/>
          <w:kern w:val="0"/>
          <w:sz w:val="32"/>
          <w:szCs w:val="32"/>
        </w:rPr>
        <w:t>推动</w:t>
      </w:r>
      <w:r>
        <w:rPr>
          <w:rFonts w:ascii="仿宋_GB2312" w:hAnsi="仿宋" w:eastAsia="仿宋_GB2312" w:cs="仿宋"/>
          <w:kern w:val="0"/>
          <w:sz w:val="32"/>
          <w:szCs w:val="32"/>
        </w:rPr>
        <w:t>一流本科</w:t>
      </w:r>
      <w:r>
        <w:rPr>
          <w:rFonts w:hint="eastAsia" w:ascii="仿宋_GB2312" w:hAnsi="仿宋" w:eastAsia="仿宋_GB2312" w:cs="仿宋"/>
          <w:kern w:val="0"/>
          <w:sz w:val="32"/>
          <w:szCs w:val="32"/>
        </w:rPr>
        <w:t>课程开放共享</w:t>
      </w:r>
      <w:r>
        <w:rPr>
          <w:rFonts w:hint="eastAsia" w:ascii="仿宋_GB2312" w:hAnsi="宋体" w:eastAsia="仿宋_GB2312"/>
          <w:sz w:val="32"/>
          <w:szCs w:val="32"/>
        </w:rPr>
        <w:t>。</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楷体" w:eastAsia="仿宋_GB2312"/>
          <w:sz w:val="32"/>
          <w:szCs w:val="32"/>
        </w:rPr>
        <w:t>（三）高校</w:t>
      </w:r>
      <w:r>
        <w:rPr>
          <w:rFonts w:hint="eastAsia" w:ascii="仿宋_GB2312" w:hAnsi="宋体" w:eastAsia="仿宋_GB2312"/>
          <w:sz w:val="32"/>
          <w:szCs w:val="32"/>
        </w:rPr>
        <w:t>要优化课程体系，做好一流本科课程建设规划。组建优秀教师团队建设一流本科课程。建立校内课程建设激励机制，健全支持政策，完善课程管理和评价机制。“双一流”建设高校、部省合建高校要率先建设一流本科课程。</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楷体" w:eastAsia="仿宋_GB2312" w:cs="黑体"/>
          <w:bCs/>
          <w:sz w:val="32"/>
          <w:szCs w:val="32"/>
        </w:rPr>
        <w:t>（四）高等学校教学指导委员会要加强课程建设理论研究和分类</w:t>
      </w:r>
      <w:r>
        <w:rPr>
          <w:rFonts w:hint="eastAsia" w:ascii="仿宋_GB2312" w:hAnsi="宋体" w:eastAsia="仿宋_GB2312"/>
          <w:sz w:val="32"/>
          <w:szCs w:val="32"/>
        </w:rPr>
        <w:t>指导</w:t>
      </w:r>
      <w:r>
        <w:rPr>
          <w:rFonts w:hint="eastAsia" w:ascii="仿宋_GB2312" w:hAnsi="楷体" w:eastAsia="仿宋_GB2312" w:cs="黑体"/>
          <w:bCs/>
          <w:sz w:val="32"/>
          <w:szCs w:val="32"/>
        </w:rPr>
        <w:t>，</w:t>
      </w:r>
      <w:r>
        <w:rPr>
          <w:rFonts w:hint="eastAsia" w:ascii="仿宋_GB2312" w:hAnsi="黑体" w:eastAsia="仿宋_GB2312" w:cs="黑体"/>
          <w:bCs/>
          <w:sz w:val="32"/>
          <w:szCs w:val="32"/>
        </w:rPr>
        <w:t>组织</w:t>
      </w:r>
      <w:r>
        <w:rPr>
          <w:rFonts w:hint="eastAsia" w:ascii="仿宋_GB2312" w:hAnsi="宋体" w:eastAsia="仿宋_GB2312"/>
          <w:sz w:val="32"/>
          <w:szCs w:val="32"/>
        </w:rPr>
        <w:t>制订相关专业一流本科课程建设指南，引导高校汇聚优秀教师联合建设课程群，共享优质课程资源。</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（五）课程服务平台承担一流本科课程服务和数据安全保障的主体责任，配合开展课程审查和线上教学活动。要不断更新并提升技术和数据服务水平，监控和打击不良学习行为。加强课程平台间的交流与合作。</w:t>
      </w:r>
    </w:p>
    <w:p>
      <w:pPr>
        <w:adjustRightInd w:val="0"/>
        <w:snapToGrid w:val="0"/>
        <w:spacing w:line="560" w:lineRule="exact"/>
        <w:ind w:firstLine="640" w:firstLineChars="200"/>
        <w:rPr>
          <w:rFonts w:ascii="仿宋_GB2312" w:hAnsi="仿宋" w:eastAsia="仿宋_GB2312" w:cs="仿宋"/>
          <w:kern w:val="0"/>
          <w:sz w:val="32"/>
          <w:szCs w:val="32"/>
        </w:rPr>
      </w:pPr>
      <w:r>
        <w:rPr>
          <w:rFonts w:hint="eastAsia" w:ascii="仿宋_GB2312" w:hAnsi="微软雅黑" w:eastAsia="仿宋_GB2312"/>
          <w:sz w:val="32"/>
          <w:szCs w:val="32"/>
        </w:rPr>
        <w:t>（六）中央部门所属高校统筹利用“中央高校教育教学改革专项”等各类资源支持一流本科课程建设。地方高校</w:t>
      </w:r>
      <w:r>
        <w:rPr>
          <w:rFonts w:hint="eastAsia" w:ascii="仿宋_GB2312" w:hAnsi="仿宋" w:eastAsia="仿宋_GB2312" w:cs="仿宋"/>
          <w:kern w:val="0"/>
          <w:sz w:val="32"/>
          <w:szCs w:val="32"/>
        </w:rPr>
        <w:t>统筹地方财政高等教育资金和中央支持地方高校改革发展资金支持一流本科课程建设。</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附件：</w:t>
      </w:r>
      <w:r>
        <w:rPr>
          <w:rFonts w:hint="eastAsia" w:ascii="仿宋_GB2312" w:hAnsi="宋体" w:eastAsia="仿宋_GB2312"/>
          <w:sz w:val="32"/>
          <w:szCs w:val="32"/>
        </w:rPr>
        <w:t>“双万计划”国家级一流本科课程推荐认定办法</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wordWrap w:val="0"/>
        <w:adjustRightInd w:val="0"/>
        <w:snapToGrid w:val="0"/>
        <w:spacing w:line="560" w:lineRule="exact"/>
        <w:jc w:val="right"/>
        <w:rPr>
          <w:rFonts w:ascii="仿宋_GB2312" w:eastAsia="仿宋_GB2312"/>
          <w:sz w:val="32"/>
          <w:szCs w:val="32"/>
        </w:rPr>
      </w:pPr>
    </w:p>
    <w:p>
      <w:pPr>
        <w:wordWrap w:val="0"/>
        <w:adjustRightInd w:val="0"/>
        <w:snapToGrid w:val="0"/>
        <w:spacing w:line="560" w:lineRule="exact"/>
        <w:jc w:val="left"/>
        <w:rPr>
          <w:rFonts w:ascii="仿宋_GB2312" w:eastAsia="仿宋_GB2312"/>
          <w:sz w:val="32"/>
          <w:szCs w:val="32"/>
        </w:rPr>
      </w:pPr>
      <w:r>
        <w:rPr>
          <w:rFonts w:hint="eastAsia" w:ascii="仿宋_GB2312" w:eastAsia="仿宋_GB2312"/>
          <w:sz w:val="32"/>
          <w:szCs w:val="32"/>
        </w:rPr>
        <w:t xml:space="preserve">                                        教  育  部 </w:t>
      </w:r>
    </w:p>
    <w:p>
      <w:pPr>
        <w:wordWrap w:val="0"/>
        <w:adjustRightInd w:val="0"/>
        <w:snapToGrid w:val="0"/>
        <w:spacing w:line="560" w:lineRule="exact"/>
        <w:ind w:firstLine="640" w:firstLineChars="200"/>
        <w:jc w:val="right"/>
        <w:rPr>
          <w:rFonts w:ascii="仿宋_GB2312" w:eastAsia="仿宋_GB2312"/>
          <w:sz w:val="32"/>
          <w:szCs w:val="32"/>
        </w:rPr>
      </w:pPr>
      <w:r>
        <w:rPr>
          <w:rFonts w:hint="eastAsia" w:eastAsia="仿宋_GB2312"/>
          <w:sz w:val="32"/>
          <w:szCs w:val="32"/>
        </w:rPr>
        <w:t>2019年10月24日</w:t>
      </w:r>
    </w:p>
    <w:p>
      <w:pPr>
        <w:adjustRightInd w:val="0"/>
        <w:snapToGrid w:val="0"/>
        <w:spacing w:line="560" w:lineRule="exact"/>
        <w:jc w:val="center"/>
        <w:rPr>
          <w:rFonts w:ascii="方正小标宋简体" w:eastAsia="方正小标宋简体"/>
          <w:sz w:val="44"/>
          <w:szCs w:val="40"/>
        </w:rPr>
      </w:pPr>
      <w:r>
        <w:rPr>
          <w:rFonts w:ascii="仿宋_GB2312" w:eastAsia="仿宋_GB2312"/>
          <w:sz w:val="32"/>
          <w:szCs w:val="32"/>
        </w:rPr>
        <w:br w:type="page"/>
      </w:r>
      <w:r>
        <w:rPr>
          <w:rFonts w:hint="eastAsia" w:ascii="方正小标宋简体" w:eastAsia="方正小标宋简体"/>
          <w:sz w:val="44"/>
          <w:szCs w:val="40"/>
        </w:rPr>
        <w:t>“双万计划”国家级一流本科课程</w:t>
      </w:r>
    </w:p>
    <w:p>
      <w:pPr>
        <w:adjustRightInd w:val="0"/>
        <w:snapToGrid w:val="0"/>
        <w:spacing w:line="560" w:lineRule="exact"/>
        <w:jc w:val="center"/>
        <w:rPr>
          <w:rFonts w:ascii="方正小标宋简体" w:eastAsia="方正小标宋简体"/>
          <w:sz w:val="44"/>
          <w:szCs w:val="40"/>
        </w:rPr>
      </w:pPr>
      <w:r>
        <w:rPr>
          <w:rFonts w:hint="eastAsia" w:ascii="方正小标宋简体" w:eastAsia="方正小标宋简体"/>
          <w:sz w:val="44"/>
          <w:szCs w:val="40"/>
        </w:rPr>
        <w:t>推荐认定办法</w:t>
      </w:r>
    </w:p>
    <w:p>
      <w:pPr>
        <w:adjustRightInd w:val="0"/>
        <w:snapToGrid w:val="0"/>
        <w:spacing w:line="560" w:lineRule="exact"/>
        <w:ind w:firstLine="720" w:firstLineChars="200"/>
        <w:rPr>
          <w:rFonts w:ascii="方正小标宋简体" w:eastAsia="方正小标宋简体"/>
          <w:sz w:val="36"/>
          <w:szCs w:val="36"/>
        </w:rPr>
      </w:pPr>
    </w:p>
    <w:p>
      <w:pPr>
        <w:adjustRightInd w:val="0"/>
        <w:snapToGrid w:val="0"/>
        <w:spacing w:line="560" w:lineRule="exact"/>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、推荐范围</w:t>
      </w:r>
    </w:p>
    <w:p>
      <w:pPr>
        <w:adjustRightInd w:val="0"/>
        <w:snapToGrid w:val="0"/>
        <w:spacing w:line="560" w:lineRule="exact"/>
        <w:ind w:firstLine="640" w:firstLineChars="200"/>
        <w:rPr>
          <w:rFonts w:ascii="黑体" w:hAnsi="黑体" w:eastAsia="黑体"/>
          <w:sz w:val="32"/>
          <w:szCs w:val="32"/>
        </w:rPr>
      </w:pPr>
      <w:r>
        <w:rPr>
          <w:rFonts w:hint="eastAsia" w:ascii="仿宋_GB2312" w:hAnsi="黑体" w:eastAsia="仿宋_GB2312"/>
          <w:sz w:val="32"/>
          <w:szCs w:val="32"/>
        </w:rPr>
        <w:t>普通本科高校纳入人才培养方案且设置学分的本科课程均可推荐，</w:t>
      </w:r>
      <w:r>
        <w:rPr>
          <w:rFonts w:hint="eastAsia" w:ascii="仿宋_GB2312" w:hAnsi="楷体" w:eastAsia="仿宋_GB2312" w:cs="楷体"/>
          <w:sz w:val="32"/>
          <w:szCs w:val="32"/>
        </w:rPr>
        <w:t>包括</w:t>
      </w:r>
      <w:r>
        <w:rPr>
          <w:rFonts w:hint="eastAsia" w:ascii="仿宋_GB2312" w:hAnsi="宋体" w:eastAsia="仿宋_GB2312"/>
          <w:sz w:val="32"/>
          <w:szCs w:val="32"/>
        </w:rPr>
        <w:t>思想政治理论课、公共基础课、专业基础课、专业课以及通识课等独立设置的本科理论课程、实验课程和社会实践课程等。</w:t>
      </w:r>
    </w:p>
    <w:p>
      <w:pPr>
        <w:adjustRightInd w:val="0"/>
        <w:snapToGrid w:val="0"/>
        <w:spacing w:line="560" w:lineRule="exact"/>
        <w:ind w:firstLine="640"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、推荐类型与</w:t>
      </w:r>
      <w:r>
        <w:rPr>
          <w:rFonts w:ascii="黑体" w:hAnsi="黑体" w:eastAsia="黑体"/>
          <w:sz w:val="32"/>
          <w:szCs w:val="32"/>
        </w:rPr>
        <w:t>计划</w:t>
      </w:r>
    </w:p>
    <w:p>
      <w:pPr>
        <w:adjustRightInd w:val="0"/>
        <w:snapToGrid w:val="0"/>
        <w:spacing w:line="560" w:lineRule="exact"/>
        <w:ind w:firstLine="643" w:firstLineChars="200"/>
        <w:rPr>
          <w:rFonts w:ascii="仿宋_GB2312" w:hAnsi="宋体" w:eastAsia="仿宋_GB2312"/>
          <w:sz w:val="32"/>
          <w:szCs w:val="32"/>
        </w:rPr>
      </w:pPr>
      <w:r>
        <w:rPr>
          <w:rFonts w:hint="eastAsia" w:ascii="楷体" w:hAnsi="楷体" w:eastAsia="楷体"/>
          <w:b/>
          <w:sz w:val="32"/>
          <w:szCs w:val="32"/>
        </w:rPr>
        <w:t>（一）线上一流课程。</w:t>
      </w:r>
      <w:r>
        <w:rPr>
          <w:rFonts w:hint="eastAsia" w:ascii="仿宋_GB2312" w:hAnsi="楷体" w:eastAsia="仿宋_GB2312"/>
          <w:sz w:val="32"/>
          <w:szCs w:val="32"/>
        </w:rPr>
        <w:t>即国家精品在线开放课程，突出优质、开放、共享，</w:t>
      </w:r>
      <w:r>
        <w:rPr>
          <w:rFonts w:hint="eastAsia" w:ascii="仿宋_GB2312" w:hAnsi="仿宋" w:eastAsia="仿宋_GB2312" w:cs="仿宋"/>
          <w:kern w:val="0"/>
          <w:sz w:val="32"/>
          <w:szCs w:val="32"/>
        </w:rPr>
        <w:t>打造中国慕课品牌。完成</w:t>
      </w:r>
      <w:r>
        <w:rPr>
          <w:rFonts w:eastAsia="仿宋_GB2312"/>
          <w:sz w:val="32"/>
          <w:szCs w:val="32"/>
        </w:rPr>
        <w:t>4000</w:t>
      </w:r>
      <w:r>
        <w:rPr>
          <w:rFonts w:hint="eastAsia" w:ascii="仿宋_GB2312" w:hAnsi="宋体" w:eastAsia="仿宋_GB2312"/>
          <w:sz w:val="32"/>
          <w:szCs w:val="32"/>
        </w:rPr>
        <w:t>门左右国家精品在线开放课程认定，构建内容更加丰富、结构更加合理、类别更加全面的国家级精品慕课体系。</w:t>
      </w:r>
    </w:p>
    <w:p>
      <w:pPr>
        <w:adjustRightInd w:val="0"/>
        <w:snapToGrid w:val="0"/>
        <w:spacing w:line="560" w:lineRule="exact"/>
        <w:ind w:firstLine="643" w:firstLineChars="200"/>
        <w:rPr>
          <w:rFonts w:ascii="仿宋_GB2312" w:hAnsi="宋体" w:eastAsia="仿宋_GB2312"/>
          <w:sz w:val="32"/>
          <w:szCs w:val="32"/>
        </w:rPr>
      </w:pPr>
      <w:r>
        <w:rPr>
          <w:rFonts w:hint="eastAsia" w:ascii="楷体" w:hAnsi="楷体" w:eastAsia="楷体"/>
          <w:b/>
          <w:sz w:val="32"/>
          <w:szCs w:val="32"/>
        </w:rPr>
        <w:t>（二）线下一流课程。</w:t>
      </w:r>
      <w:r>
        <w:rPr>
          <w:rFonts w:hint="eastAsia" w:ascii="仿宋_GB2312" w:hAnsi="楷体" w:eastAsia="仿宋_GB2312"/>
          <w:sz w:val="32"/>
          <w:szCs w:val="32"/>
        </w:rPr>
        <w:t>主要指以面授为主的课程，以提升学生综合能力为重点，</w:t>
      </w:r>
      <w:r>
        <w:rPr>
          <w:rFonts w:hint="eastAsia" w:ascii="仿宋_GB2312" w:hAnsi="仿宋_GB2312" w:eastAsia="仿宋_GB2312" w:cs="仿宋_GB2312"/>
          <w:sz w:val="32"/>
          <w:szCs w:val="32"/>
        </w:rPr>
        <w:t>重塑课程内容，创新教学方法，</w:t>
      </w:r>
      <w:r>
        <w:rPr>
          <w:rFonts w:hint="eastAsia" w:ascii="仿宋_GB2312" w:hAnsi="宋体" w:eastAsia="仿宋_GB2312" w:cs="宋体"/>
          <w:spacing w:val="8"/>
          <w:kern w:val="0"/>
          <w:sz w:val="32"/>
          <w:szCs w:val="32"/>
        </w:rPr>
        <w:t>打破课堂沉默状态，焕发课堂生机活力，较好</w:t>
      </w:r>
      <w:r>
        <w:rPr>
          <w:rFonts w:hint="eastAsia" w:ascii="仿宋_GB2312" w:hAnsi="宋体" w:eastAsia="仿宋_GB2312"/>
          <w:sz w:val="32"/>
          <w:szCs w:val="32"/>
        </w:rPr>
        <w:t>发挥</w:t>
      </w:r>
      <w:r>
        <w:rPr>
          <w:rFonts w:hint="eastAsia" w:ascii="仿宋_GB2312" w:hAnsi="仿宋" w:eastAsia="仿宋_GB2312" w:cs="仿宋"/>
          <w:kern w:val="0"/>
          <w:sz w:val="32"/>
          <w:szCs w:val="32"/>
        </w:rPr>
        <w:t>课堂教学主阵地、主渠道、主战场作用</w:t>
      </w:r>
      <w:r>
        <w:rPr>
          <w:rFonts w:hint="eastAsia" w:ascii="仿宋_GB2312" w:hAnsi="宋体" w:eastAsia="仿宋_GB2312" w:cs="宋体"/>
          <w:kern w:val="0"/>
          <w:sz w:val="32"/>
          <w:szCs w:val="32"/>
        </w:rPr>
        <w:t>。</w:t>
      </w:r>
      <w:r>
        <w:rPr>
          <w:rFonts w:hint="eastAsia" w:ascii="仿宋_GB2312" w:hAnsi="宋体" w:eastAsia="仿宋_GB2312"/>
          <w:sz w:val="32"/>
          <w:szCs w:val="32"/>
        </w:rPr>
        <w:t>认定</w:t>
      </w:r>
      <w:r>
        <w:rPr>
          <w:rFonts w:eastAsia="仿宋_GB2312"/>
          <w:sz w:val="32"/>
          <w:szCs w:val="32"/>
        </w:rPr>
        <w:t>400</w:t>
      </w:r>
      <w:r>
        <w:rPr>
          <w:rFonts w:hint="eastAsia" w:eastAsia="仿宋_GB2312"/>
          <w:sz w:val="32"/>
          <w:szCs w:val="32"/>
        </w:rPr>
        <w:t>0</w:t>
      </w:r>
      <w:r>
        <w:rPr>
          <w:rFonts w:hint="eastAsia" w:ascii="仿宋_GB2312" w:hAnsi="宋体" w:eastAsia="仿宋_GB2312"/>
          <w:sz w:val="32"/>
          <w:szCs w:val="32"/>
        </w:rPr>
        <w:t>门左右国家级线下一流课程。</w:t>
      </w:r>
    </w:p>
    <w:p>
      <w:pPr>
        <w:adjustRightInd w:val="0"/>
        <w:snapToGrid w:val="0"/>
        <w:spacing w:line="560" w:lineRule="exact"/>
        <w:ind w:firstLine="643" w:firstLineChars="200"/>
        <w:rPr>
          <w:rFonts w:ascii="仿宋_GB2312" w:hAnsi="宋体" w:eastAsia="仿宋_GB2312"/>
          <w:sz w:val="32"/>
          <w:szCs w:val="32"/>
        </w:rPr>
      </w:pPr>
      <w:r>
        <w:rPr>
          <w:rFonts w:hint="eastAsia" w:ascii="楷体" w:hAnsi="楷体" w:eastAsia="楷体"/>
          <w:b/>
          <w:sz w:val="32"/>
          <w:szCs w:val="32"/>
        </w:rPr>
        <w:t>（三）线上线下混合式一流课程。</w:t>
      </w:r>
      <w:r>
        <w:rPr>
          <w:rFonts w:hint="eastAsia" w:ascii="仿宋_GB2312" w:hAnsi="楷体" w:eastAsia="仿宋_GB2312"/>
          <w:sz w:val="32"/>
          <w:szCs w:val="32"/>
        </w:rPr>
        <w:t>主要指</w:t>
      </w:r>
      <w:r>
        <w:rPr>
          <w:rFonts w:hint="eastAsia" w:ascii="仿宋_GB2312" w:hAnsi="仿宋" w:eastAsia="仿宋_GB2312" w:cs="仿宋"/>
          <w:kern w:val="0"/>
          <w:sz w:val="32"/>
          <w:szCs w:val="32"/>
        </w:rPr>
        <w:t>基于</w:t>
      </w:r>
      <w:r>
        <w:rPr>
          <w:rFonts w:hint="eastAsia" w:ascii="仿宋_GB2312" w:hAnsi="宋体" w:eastAsia="仿宋_GB2312"/>
          <w:sz w:val="32"/>
          <w:szCs w:val="32"/>
        </w:rPr>
        <w:t>慕课、专属在线课程（</w:t>
      </w:r>
      <w:r>
        <w:rPr>
          <w:rFonts w:hint="eastAsia" w:eastAsia="仿宋_GB2312"/>
          <w:sz w:val="32"/>
          <w:szCs w:val="32"/>
        </w:rPr>
        <w:t>SPOC</w:t>
      </w:r>
      <w:r>
        <w:rPr>
          <w:rFonts w:hint="eastAsia" w:ascii="仿宋_GB2312" w:hAnsi="宋体" w:eastAsia="仿宋_GB2312"/>
          <w:sz w:val="32"/>
          <w:szCs w:val="32"/>
        </w:rPr>
        <w:t>）或其他在线课程</w:t>
      </w:r>
      <w:r>
        <w:rPr>
          <w:rFonts w:hint="eastAsia" w:ascii="仿宋_GB2312" w:hAnsi="仿宋" w:eastAsia="仿宋_GB2312" w:cs="仿宋"/>
          <w:kern w:val="0"/>
          <w:sz w:val="32"/>
          <w:szCs w:val="32"/>
        </w:rPr>
        <w:t>，</w:t>
      </w:r>
      <w:r>
        <w:rPr>
          <w:rFonts w:hint="eastAsia" w:ascii="仿宋_GB2312" w:hAnsi="宋体" w:eastAsia="仿宋_GB2312"/>
          <w:sz w:val="32"/>
          <w:szCs w:val="32"/>
        </w:rPr>
        <w:t>运用适当的数字化教学工具，</w:t>
      </w:r>
      <w:r>
        <w:rPr>
          <w:rFonts w:hint="eastAsia" w:ascii="仿宋_GB2312" w:hAnsi="仿宋" w:eastAsia="仿宋_GB2312" w:cs="仿宋"/>
          <w:kern w:val="0"/>
          <w:sz w:val="32"/>
          <w:szCs w:val="32"/>
        </w:rPr>
        <w:t>结合本校实际对校内课程进行改造，安排</w:t>
      </w:r>
      <w:r>
        <w:rPr>
          <w:rFonts w:hint="eastAsia" w:eastAsia="仿宋_GB2312"/>
          <w:sz w:val="32"/>
          <w:szCs w:val="32"/>
        </w:rPr>
        <w:t>2</w:t>
      </w:r>
      <w:r>
        <w:rPr>
          <w:rFonts w:eastAsia="仿宋_GB2312"/>
          <w:sz w:val="32"/>
          <w:szCs w:val="32"/>
        </w:rPr>
        <w:t>0</w:t>
      </w:r>
      <w:r>
        <w:rPr>
          <w:rFonts w:hint="eastAsia" w:eastAsia="仿宋_GB2312"/>
          <w:sz w:val="32"/>
          <w:szCs w:val="32"/>
        </w:rPr>
        <w:t>%—5</w:t>
      </w:r>
      <w:r>
        <w:rPr>
          <w:rFonts w:eastAsia="仿宋_GB2312"/>
          <w:sz w:val="32"/>
          <w:szCs w:val="32"/>
        </w:rPr>
        <w:t>0</w:t>
      </w:r>
      <w:r>
        <w:rPr>
          <w:rFonts w:hint="eastAsia" w:eastAsia="仿宋_GB2312"/>
          <w:sz w:val="32"/>
          <w:szCs w:val="32"/>
        </w:rPr>
        <w:t>%</w:t>
      </w:r>
      <w:r>
        <w:rPr>
          <w:rFonts w:ascii="仿宋_GB2312" w:hAnsi="仿宋" w:eastAsia="仿宋_GB2312" w:cs="仿宋"/>
          <w:kern w:val="0"/>
          <w:sz w:val="32"/>
          <w:szCs w:val="32"/>
        </w:rPr>
        <w:t>的教学时间实施学生</w:t>
      </w:r>
      <w:r>
        <w:rPr>
          <w:rFonts w:hint="eastAsia" w:ascii="仿宋_GB2312" w:hAnsi="仿宋" w:eastAsia="仿宋_GB2312" w:cs="仿宋"/>
          <w:kern w:val="0"/>
          <w:sz w:val="32"/>
          <w:szCs w:val="32"/>
        </w:rPr>
        <w:t>线上自主学习，与线下面授有机结合开展翻转课堂、混合式教学，打造在线课程与本校课堂教学相融合的混合式“金课”</w:t>
      </w:r>
      <w:r>
        <w:rPr>
          <w:rFonts w:hint="eastAsia" w:ascii="仿宋_GB2312" w:hAnsi="宋体" w:eastAsia="仿宋_GB2312"/>
          <w:sz w:val="32"/>
          <w:szCs w:val="32"/>
        </w:rPr>
        <w:t>。</w:t>
      </w:r>
      <w:r>
        <w:rPr>
          <w:rFonts w:hint="eastAsia" w:ascii="仿宋_GB2312" w:hAnsi="楷体" w:eastAsia="仿宋_GB2312"/>
          <w:sz w:val="32"/>
          <w:szCs w:val="32"/>
        </w:rPr>
        <w:t>大力倡导基于国家精品在线开放课程应用的线上线下混合式优质课程申报。</w:t>
      </w:r>
      <w:r>
        <w:rPr>
          <w:rFonts w:hint="eastAsia" w:ascii="仿宋_GB2312" w:hAnsi="宋体" w:eastAsia="仿宋_GB2312"/>
          <w:sz w:val="32"/>
          <w:szCs w:val="32"/>
        </w:rPr>
        <w:t>认定</w:t>
      </w:r>
      <w:r>
        <w:rPr>
          <w:rFonts w:eastAsia="仿宋_GB2312"/>
          <w:sz w:val="32"/>
          <w:szCs w:val="32"/>
        </w:rPr>
        <w:t>6000</w:t>
      </w:r>
      <w:r>
        <w:rPr>
          <w:rFonts w:ascii="仿宋_GB2312" w:hAnsi="宋体" w:eastAsia="仿宋_GB2312"/>
          <w:sz w:val="32"/>
          <w:szCs w:val="32"/>
        </w:rPr>
        <w:t>门左右国家级</w:t>
      </w:r>
      <w:r>
        <w:rPr>
          <w:rFonts w:hint="eastAsia" w:ascii="仿宋_GB2312" w:hAnsi="楷体" w:eastAsia="仿宋_GB2312"/>
          <w:sz w:val="32"/>
          <w:szCs w:val="32"/>
        </w:rPr>
        <w:t>线上线下混合式一流课程。</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（四）虚拟仿真实验教学一流课程。</w:t>
      </w:r>
      <w:r>
        <w:rPr>
          <w:rFonts w:hint="eastAsia" w:ascii="仿宋_GB2312" w:hAnsi="仿宋" w:eastAsia="仿宋_GB2312" w:cs="仿宋"/>
          <w:kern w:val="0"/>
          <w:sz w:val="32"/>
          <w:szCs w:val="32"/>
        </w:rPr>
        <w:t>着力解决真实实验条件不具备或实际运行困难，涉及高危或极端环境，高成本、高消耗、不可逆操作、大型综合训练等问题。完成</w:t>
      </w:r>
      <w:r>
        <w:rPr>
          <w:rFonts w:hint="eastAsia" w:eastAsia="仿宋_GB2312"/>
          <w:sz w:val="32"/>
          <w:szCs w:val="32"/>
        </w:rPr>
        <w:t>1</w:t>
      </w:r>
      <w:r>
        <w:rPr>
          <w:rFonts w:eastAsia="仿宋_GB2312"/>
          <w:sz w:val="32"/>
          <w:szCs w:val="32"/>
        </w:rPr>
        <w:t>500</w:t>
      </w:r>
      <w:r>
        <w:rPr>
          <w:rFonts w:hint="eastAsia" w:ascii="仿宋_GB2312" w:hAnsi="宋体" w:eastAsia="仿宋_GB2312"/>
          <w:sz w:val="32"/>
          <w:szCs w:val="32"/>
        </w:rPr>
        <w:t>门左右国家虚拟仿真实验教学一流课程认定，</w:t>
      </w:r>
      <w:r>
        <w:rPr>
          <w:rFonts w:hint="eastAsia" w:ascii="仿宋_GB2312" w:hAnsi="仿宋" w:eastAsia="仿宋_GB2312" w:cs="仿宋"/>
          <w:kern w:val="0"/>
          <w:sz w:val="32"/>
          <w:szCs w:val="32"/>
        </w:rPr>
        <w:t>形成</w:t>
      </w:r>
      <w:r>
        <w:rPr>
          <w:rFonts w:hint="eastAsia" w:ascii="仿宋_GB2312" w:hAnsi="微软雅黑" w:eastAsia="仿宋_GB2312"/>
          <w:sz w:val="32"/>
          <w:szCs w:val="32"/>
        </w:rPr>
        <w:t>专业布局合理、教学效果优良、开放共享有效的高等教育信息化实验教学体系</w:t>
      </w:r>
      <w:r>
        <w:rPr>
          <w:rFonts w:ascii="仿宋" w:hAnsi="仿宋" w:eastAsia="仿宋" w:cs="仿宋"/>
          <w:sz w:val="32"/>
          <w:szCs w:val="32"/>
        </w:rPr>
        <w:t>。</w:t>
      </w:r>
    </w:p>
    <w:p>
      <w:pPr>
        <w:adjustRightInd w:val="0"/>
        <w:snapToGrid w:val="0"/>
        <w:spacing w:line="560" w:lineRule="exact"/>
        <w:ind w:firstLine="643" w:firstLineChars="200"/>
        <w:rPr>
          <w:rFonts w:ascii="仿宋" w:hAnsi="仿宋" w:eastAsia="仿宋" w:cs="仿宋"/>
          <w:sz w:val="32"/>
          <w:szCs w:val="32"/>
        </w:rPr>
      </w:pPr>
      <w:r>
        <w:rPr>
          <w:rFonts w:hint="eastAsia" w:ascii="楷体" w:hAnsi="楷体" w:eastAsia="楷体"/>
          <w:b/>
          <w:sz w:val="32"/>
          <w:szCs w:val="32"/>
        </w:rPr>
        <w:t>（五）社会实践一流课程。</w:t>
      </w:r>
      <w:r>
        <w:rPr>
          <w:rFonts w:hint="eastAsia" w:ascii="仿宋_GB2312" w:hAnsi="楷体" w:eastAsia="仿宋_GB2312"/>
          <w:sz w:val="32"/>
          <w:szCs w:val="32"/>
        </w:rPr>
        <w:t>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w:t>
      </w:r>
      <w:r>
        <w:rPr>
          <w:rFonts w:eastAsia="仿宋_GB2312"/>
          <w:sz w:val="32"/>
          <w:szCs w:val="32"/>
        </w:rPr>
        <w:t>70%</w:t>
      </w:r>
      <w:r>
        <w:rPr>
          <w:rFonts w:ascii="仿宋_GB2312" w:hAnsi="楷体" w:eastAsia="仿宋_GB2312"/>
          <w:sz w:val="32"/>
          <w:szCs w:val="32"/>
        </w:rPr>
        <w:t>以上学时深入基层，</w:t>
      </w:r>
      <w:r>
        <w:rPr>
          <w:rFonts w:hint="eastAsia" w:ascii="仿宋_GB2312" w:hAnsi="楷体" w:eastAsia="仿宋_GB2312"/>
          <w:sz w:val="32"/>
          <w:szCs w:val="32"/>
        </w:rPr>
        <w:t>保证</w:t>
      </w:r>
      <w:r>
        <w:rPr>
          <w:rFonts w:ascii="仿宋_GB2312" w:hAnsi="楷体" w:eastAsia="仿宋_GB2312"/>
          <w:sz w:val="32"/>
          <w:szCs w:val="32"/>
        </w:rPr>
        <w:t>课程规范化和可持续发展。认定</w:t>
      </w:r>
      <w:r>
        <w:rPr>
          <w:rFonts w:eastAsia="仿宋_GB2312"/>
          <w:sz w:val="32"/>
          <w:szCs w:val="32"/>
        </w:rPr>
        <w:t>1000</w:t>
      </w:r>
      <w:r>
        <w:rPr>
          <w:rFonts w:ascii="仿宋_GB2312" w:hAnsi="楷体" w:eastAsia="仿宋_GB2312"/>
          <w:sz w:val="32"/>
          <w:szCs w:val="32"/>
        </w:rPr>
        <w:t>门左右国家级社会实践一流课程。</w:t>
      </w:r>
    </w:p>
    <w:p>
      <w:pPr>
        <w:adjustRightInd w:val="0"/>
        <w:snapToGrid w:val="0"/>
        <w:spacing w:line="560" w:lineRule="exact"/>
        <w:ind w:firstLine="640" w:firstLineChars="200"/>
        <w:rPr>
          <w:rFonts w:ascii="黑体" w:hAnsi="黑体" w:eastAsia="黑体" w:cs="仿宋"/>
          <w:sz w:val="32"/>
          <w:szCs w:val="32"/>
        </w:rPr>
      </w:pPr>
      <w:r>
        <w:rPr>
          <w:rFonts w:hint="eastAsia" w:ascii="黑体" w:hAnsi="黑体" w:eastAsia="黑体"/>
          <w:sz w:val="32"/>
          <w:szCs w:val="32"/>
        </w:rPr>
        <w:t>三、推荐条件</w:t>
      </w:r>
    </w:p>
    <w:p>
      <w:pPr>
        <w:adjustRightInd w:val="0"/>
        <w:snapToGrid w:val="0"/>
        <w:spacing w:line="560" w:lineRule="exact"/>
        <w:ind w:firstLine="640" w:firstLineChars="200"/>
        <w:rPr>
          <w:rFonts w:ascii="仿宋_GB2312" w:hAnsi="楷体" w:eastAsia="仿宋_GB2312"/>
          <w:bCs/>
          <w:sz w:val="32"/>
          <w:szCs w:val="32"/>
        </w:rPr>
      </w:pPr>
      <w:r>
        <w:rPr>
          <w:rFonts w:hint="eastAsia" w:ascii="仿宋_GB2312" w:hAnsi="宋体" w:eastAsia="仿宋_GB2312"/>
          <w:sz w:val="32"/>
          <w:szCs w:val="32"/>
        </w:rPr>
        <w:t>推荐课程须至少经过两个学期或两个教学周期的建设和完善，取得实质性改革成效，</w:t>
      </w:r>
      <w:r>
        <w:rPr>
          <w:rFonts w:hint="eastAsia" w:ascii="仿宋_GB2312" w:hAnsi="仿宋" w:eastAsia="仿宋_GB2312"/>
          <w:sz w:val="32"/>
          <w:szCs w:val="32"/>
        </w:rPr>
        <w:t>在同类课程中具有鲜明特色、良好的教学效果，</w:t>
      </w:r>
      <w:r>
        <w:rPr>
          <w:rFonts w:hint="eastAsia" w:ascii="仿宋_GB2312" w:hAnsi="宋体" w:eastAsia="仿宋_GB2312"/>
          <w:sz w:val="32"/>
          <w:szCs w:val="32"/>
        </w:rPr>
        <w:t>并承诺入选后将持续改进。</w:t>
      </w:r>
      <w:r>
        <w:rPr>
          <w:rFonts w:hint="eastAsia" w:ascii="仿宋_GB2312" w:hAnsi="楷体" w:eastAsia="仿宋_GB2312"/>
          <w:bCs/>
          <w:sz w:val="32"/>
          <w:szCs w:val="32"/>
        </w:rPr>
        <w:t>符合相关类型课程基本形态和特殊要求的同时，在以下</w:t>
      </w:r>
      <w:r>
        <w:rPr>
          <w:rFonts w:hint="eastAsia" w:ascii="仿宋_GB2312" w:hAnsi="仿宋" w:eastAsia="仿宋_GB2312"/>
          <w:sz w:val="32"/>
          <w:szCs w:val="32"/>
        </w:rPr>
        <w:t>多个方面具备实质性创新，有较大的借鉴和推广价值。</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（一）教学</w:t>
      </w:r>
      <w:r>
        <w:rPr>
          <w:rFonts w:ascii="楷体" w:hAnsi="楷体" w:eastAsia="楷体"/>
          <w:b/>
          <w:bCs/>
          <w:sz w:val="32"/>
          <w:szCs w:val="32"/>
        </w:rPr>
        <w:t>理念先进</w:t>
      </w:r>
      <w:r>
        <w:rPr>
          <w:rFonts w:hint="eastAsia" w:ascii="楷体" w:hAnsi="楷体" w:eastAsia="楷体"/>
          <w:b/>
          <w:bCs/>
          <w:sz w:val="32"/>
          <w:szCs w:val="32"/>
        </w:rPr>
        <w:t>。</w:t>
      </w:r>
      <w:r>
        <w:rPr>
          <w:rFonts w:hint="eastAsia" w:ascii="仿宋_GB2312" w:hAnsi="楷体" w:eastAsia="仿宋_GB2312"/>
          <w:bCs/>
          <w:sz w:val="32"/>
          <w:szCs w:val="32"/>
        </w:rPr>
        <w:t>坚持立德树人，体现以学生发展为中心，致力于开启学生内在潜力和学习动力，注重学生德智体美劳全面发展。</w:t>
      </w:r>
    </w:p>
    <w:p>
      <w:pPr>
        <w:adjustRightInd w:val="0"/>
        <w:snapToGrid w:val="0"/>
        <w:spacing w:line="560" w:lineRule="exact"/>
        <w:ind w:firstLine="643" w:firstLineChars="200"/>
        <w:rPr>
          <w:rFonts w:ascii="仿宋" w:hAnsi="仿宋" w:eastAsia="仿宋"/>
          <w:sz w:val="24"/>
        </w:rPr>
      </w:pPr>
      <w:r>
        <w:rPr>
          <w:rFonts w:hint="eastAsia" w:ascii="楷体" w:hAnsi="楷体" w:eastAsia="楷体"/>
          <w:b/>
          <w:bCs/>
          <w:sz w:val="32"/>
          <w:szCs w:val="32"/>
        </w:rPr>
        <w:t>（二）</w:t>
      </w:r>
      <w:r>
        <w:rPr>
          <w:rFonts w:ascii="楷体" w:hAnsi="楷体" w:eastAsia="楷体"/>
          <w:b/>
          <w:bCs/>
          <w:sz w:val="32"/>
          <w:szCs w:val="32"/>
        </w:rPr>
        <w:t>课程教学团队教学成果显著</w:t>
      </w:r>
      <w:r>
        <w:rPr>
          <w:rFonts w:hint="eastAsia" w:ascii="楷体" w:hAnsi="楷体" w:eastAsia="楷体"/>
          <w:b/>
          <w:bCs/>
          <w:sz w:val="32"/>
          <w:szCs w:val="32"/>
        </w:rPr>
        <w:t>。</w:t>
      </w:r>
      <w:r>
        <w:rPr>
          <w:rFonts w:hint="eastAsia" w:ascii="仿宋_GB2312" w:hAnsi="楷体" w:eastAsia="仿宋_GB2312"/>
          <w:bCs/>
          <w:sz w:val="32"/>
          <w:szCs w:val="32"/>
        </w:rPr>
        <w:t>课程团队</w:t>
      </w:r>
      <w:r>
        <w:rPr>
          <w:rFonts w:hint="eastAsia" w:ascii="仿宋_GB2312" w:hAnsi="仿宋" w:eastAsia="仿宋_GB2312"/>
          <w:color w:val="000000"/>
          <w:sz w:val="32"/>
          <w:szCs w:val="32"/>
        </w:rPr>
        <w:t>教学改革意识强烈、理念先进，</w:t>
      </w:r>
      <w:r>
        <w:rPr>
          <w:rFonts w:hint="eastAsia" w:ascii="仿宋_GB2312" w:hAnsi="仿宋" w:eastAsia="仿宋_GB2312"/>
          <w:sz w:val="32"/>
          <w:szCs w:val="32"/>
        </w:rPr>
        <w:t>人员结构及任务分工合理。</w:t>
      </w:r>
      <w:r>
        <w:rPr>
          <w:rFonts w:hint="eastAsia" w:ascii="仿宋_GB2312" w:hAnsi="楷体" w:eastAsia="仿宋_GB2312"/>
          <w:bCs/>
          <w:sz w:val="32"/>
          <w:szCs w:val="32"/>
        </w:rPr>
        <w:t>主讲教师</w:t>
      </w:r>
      <w:r>
        <w:rPr>
          <w:rFonts w:hint="eastAsia" w:ascii="仿宋_GB2312" w:hAnsi="仿宋" w:eastAsia="仿宋_GB2312"/>
          <w:sz w:val="32"/>
          <w:szCs w:val="32"/>
        </w:rPr>
        <w:t>具备良好的师德师风，</w:t>
      </w:r>
      <w:r>
        <w:rPr>
          <w:rFonts w:hint="eastAsia" w:ascii="仿宋_GB2312" w:eastAsia="仿宋_GB2312"/>
          <w:sz w:val="32"/>
          <w:szCs w:val="32"/>
        </w:rPr>
        <w:t>具有丰富的教学经验、较高学术造诣，</w:t>
      </w:r>
      <w:r>
        <w:rPr>
          <w:rFonts w:hint="eastAsia" w:ascii="仿宋_GB2312" w:hAnsi="仿宋" w:eastAsia="仿宋_GB2312"/>
          <w:sz w:val="32"/>
          <w:szCs w:val="32"/>
        </w:rPr>
        <w:t>积极投身教学改革，教学能力强，能够运用新技术提高教学效率、提升教学质量。</w:t>
      </w:r>
    </w:p>
    <w:p>
      <w:pPr>
        <w:adjustRightInd w:val="0"/>
        <w:snapToGrid w:val="0"/>
        <w:spacing w:line="560" w:lineRule="exact"/>
        <w:ind w:firstLine="643" w:firstLineChars="200"/>
        <w:rPr>
          <w:rFonts w:ascii="仿宋_GB2312" w:hAnsi="仿宋" w:eastAsia="仿宋_GB2312"/>
          <w:sz w:val="32"/>
          <w:szCs w:val="32"/>
        </w:rPr>
      </w:pPr>
      <w:r>
        <w:rPr>
          <w:rFonts w:hint="eastAsia" w:ascii="楷体" w:hAnsi="楷体" w:eastAsia="楷体"/>
          <w:b/>
          <w:bCs/>
          <w:sz w:val="32"/>
          <w:szCs w:val="32"/>
        </w:rPr>
        <w:t>（三）课程</w:t>
      </w:r>
      <w:r>
        <w:rPr>
          <w:rFonts w:ascii="楷体" w:hAnsi="楷体" w:eastAsia="楷体"/>
          <w:b/>
          <w:bCs/>
          <w:sz w:val="32"/>
          <w:szCs w:val="32"/>
        </w:rPr>
        <w:t>目标有效支撑培养目标达成</w:t>
      </w:r>
      <w:r>
        <w:rPr>
          <w:rFonts w:hint="eastAsia" w:ascii="楷体" w:hAnsi="楷体" w:eastAsia="楷体"/>
          <w:b/>
          <w:bCs/>
          <w:sz w:val="32"/>
          <w:szCs w:val="32"/>
        </w:rPr>
        <w:t>。</w:t>
      </w:r>
      <w:r>
        <w:rPr>
          <w:rFonts w:hint="eastAsia" w:ascii="仿宋_GB2312" w:hAnsi="楷体" w:eastAsia="仿宋_GB2312"/>
          <w:bCs/>
          <w:sz w:val="32"/>
          <w:szCs w:val="32"/>
        </w:rPr>
        <w:t>课程目标符合学校办学定位和人才培养目标，注重知识、能力、素质培养。</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（四）</w:t>
      </w:r>
      <w:r>
        <w:rPr>
          <w:rFonts w:ascii="楷体" w:hAnsi="楷体" w:eastAsia="楷体"/>
          <w:b/>
          <w:bCs/>
          <w:sz w:val="32"/>
          <w:szCs w:val="32"/>
        </w:rPr>
        <w:t>课程教学设计科学合理</w:t>
      </w:r>
      <w:r>
        <w:rPr>
          <w:rFonts w:hint="eastAsia" w:ascii="楷体" w:hAnsi="楷体" w:eastAsia="楷体"/>
          <w:b/>
          <w:bCs/>
          <w:sz w:val="32"/>
          <w:szCs w:val="32"/>
        </w:rPr>
        <w:t>。</w:t>
      </w:r>
      <w:r>
        <w:rPr>
          <w:rFonts w:hint="eastAsia" w:ascii="仿宋_GB2312" w:hAnsi="黑体" w:eastAsia="仿宋_GB2312"/>
          <w:sz w:val="32"/>
          <w:szCs w:val="32"/>
        </w:rPr>
        <w:t>围绕目标达成、教学内容、组织实施和多元评价需求进行整体规划，</w:t>
      </w:r>
      <w:r>
        <w:rPr>
          <w:rFonts w:hint="eastAsia" w:ascii="仿宋_GB2312" w:hAnsi="仿宋" w:eastAsia="仿宋_GB2312"/>
          <w:sz w:val="32"/>
          <w:szCs w:val="32"/>
        </w:rPr>
        <w:t>教学策略、教学方法、教学过程、教学评价等设计合理。</w:t>
      </w:r>
    </w:p>
    <w:p>
      <w:pPr>
        <w:adjustRightInd w:val="0"/>
        <w:snapToGrid w:val="0"/>
        <w:spacing w:line="560" w:lineRule="exact"/>
        <w:ind w:firstLine="643" w:firstLineChars="200"/>
        <w:rPr>
          <w:rFonts w:ascii="仿宋_GB2312" w:hAnsi="仿宋" w:eastAsia="仿宋_GB2312"/>
          <w:sz w:val="24"/>
        </w:rPr>
      </w:pPr>
      <w:r>
        <w:rPr>
          <w:rFonts w:hint="eastAsia" w:ascii="楷体" w:hAnsi="楷体" w:eastAsia="楷体"/>
          <w:b/>
          <w:bCs/>
          <w:sz w:val="32"/>
          <w:szCs w:val="32"/>
        </w:rPr>
        <w:t>（五）课程内容与时俱进。</w:t>
      </w:r>
      <w:r>
        <w:rPr>
          <w:rFonts w:hint="eastAsia" w:ascii="仿宋_GB2312" w:hAnsi="仿宋" w:eastAsia="仿宋_GB2312"/>
          <w:sz w:val="32"/>
          <w:szCs w:val="32"/>
        </w:rPr>
        <w:t>课程内容结构符合学生成长规律，依据学科前沿动态与社会发展需求动态更新知识体系，契合课程目标，教材选用符合教育部和学校教材选用规定，教学资源丰富多样，体现思想性、科学性与时代性。</w:t>
      </w:r>
    </w:p>
    <w:p>
      <w:pPr>
        <w:adjustRightInd w:val="0"/>
        <w:snapToGrid w:val="0"/>
        <w:spacing w:line="560" w:lineRule="exact"/>
        <w:ind w:firstLine="643" w:firstLineChars="200"/>
        <w:rPr>
          <w:rFonts w:ascii="仿宋_GB2312" w:hAnsi="楷体" w:eastAsia="仿宋_GB2312"/>
          <w:bCs/>
          <w:sz w:val="32"/>
          <w:szCs w:val="32"/>
        </w:rPr>
      </w:pPr>
      <w:r>
        <w:rPr>
          <w:rFonts w:hint="eastAsia" w:ascii="楷体" w:hAnsi="楷体" w:eastAsia="楷体"/>
          <w:b/>
          <w:bCs/>
          <w:sz w:val="32"/>
          <w:szCs w:val="32"/>
        </w:rPr>
        <w:t>（六）</w:t>
      </w:r>
      <w:r>
        <w:rPr>
          <w:rFonts w:ascii="楷体" w:hAnsi="楷体" w:eastAsia="楷体"/>
          <w:b/>
          <w:bCs/>
          <w:sz w:val="32"/>
          <w:szCs w:val="32"/>
        </w:rPr>
        <w:t>教学组织与实施</w:t>
      </w:r>
      <w:r>
        <w:rPr>
          <w:rFonts w:hint="eastAsia" w:ascii="楷体" w:hAnsi="楷体" w:eastAsia="楷体"/>
          <w:b/>
          <w:sz w:val="32"/>
          <w:szCs w:val="32"/>
        </w:rPr>
        <w:t>突出学生中心地位</w:t>
      </w:r>
      <w:r>
        <w:rPr>
          <w:rFonts w:hint="eastAsia" w:ascii="楷体" w:hAnsi="楷体" w:eastAsia="楷体" w:cs="宋体"/>
          <w:b/>
          <w:kern w:val="0"/>
          <w:sz w:val="32"/>
          <w:szCs w:val="32"/>
        </w:rPr>
        <w:t>。</w:t>
      </w:r>
      <w:r>
        <w:rPr>
          <w:rFonts w:hint="eastAsia" w:ascii="仿宋_GB2312" w:hAnsi="仿宋" w:eastAsia="仿宋_GB2312"/>
          <w:sz w:val="32"/>
          <w:szCs w:val="32"/>
        </w:rPr>
        <w:t>根据学生认知规律和接受特点，</w:t>
      </w:r>
      <w:r>
        <w:rPr>
          <w:rFonts w:hint="eastAsia" w:ascii="仿宋_GB2312" w:hAnsi="仿宋_GB2312" w:eastAsia="仿宋_GB2312" w:cs="仿宋_GB2312"/>
          <w:sz w:val="32"/>
          <w:szCs w:val="32"/>
        </w:rPr>
        <w:t>创新教与学模式，因材施教，促进师生之间、学生之间的交流互动、资源共享、知识生成，</w:t>
      </w:r>
      <w:r>
        <w:rPr>
          <w:rFonts w:hint="eastAsia" w:ascii="仿宋_GB2312" w:hAnsi="仿宋" w:eastAsia="仿宋_GB2312"/>
          <w:sz w:val="32"/>
          <w:szCs w:val="32"/>
        </w:rPr>
        <w:t>教学反馈及时，教学效果显著。</w:t>
      </w:r>
    </w:p>
    <w:p>
      <w:pPr>
        <w:adjustRightInd w:val="0"/>
        <w:snapToGrid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（七）</w:t>
      </w:r>
      <w:r>
        <w:rPr>
          <w:rFonts w:ascii="楷体" w:hAnsi="楷体" w:eastAsia="楷体"/>
          <w:b/>
          <w:bCs/>
          <w:sz w:val="32"/>
          <w:szCs w:val="32"/>
        </w:rPr>
        <w:t>课程管理与评价科学且可测量</w:t>
      </w:r>
      <w:r>
        <w:rPr>
          <w:rFonts w:hint="eastAsia" w:ascii="楷体" w:hAnsi="楷体" w:eastAsia="楷体"/>
          <w:b/>
          <w:bCs/>
          <w:sz w:val="32"/>
          <w:szCs w:val="32"/>
        </w:rPr>
        <w:t>。</w:t>
      </w:r>
      <w:r>
        <w:rPr>
          <w:rFonts w:hint="eastAsia" w:ascii="仿宋_GB2312" w:hAnsi="仿宋" w:eastAsia="仿宋_GB2312"/>
          <w:sz w:val="32"/>
          <w:szCs w:val="32"/>
        </w:rPr>
        <w:t>教师备课要求明确，学生学习管理严格。</w:t>
      </w:r>
      <w:r>
        <w:rPr>
          <w:rFonts w:hint="eastAsia" w:ascii="仿宋_GB2312" w:hAnsi="仿宋" w:eastAsia="仿宋_GB2312"/>
          <w:color w:val="000000"/>
          <w:sz w:val="32"/>
          <w:szCs w:val="32"/>
        </w:rPr>
        <w:t>针对教学目标、教学内容、教学组织等采用多元化考核评价，</w:t>
      </w:r>
      <w:r>
        <w:rPr>
          <w:rFonts w:hint="eastAsia" w:ascii="仿宋_GB2312" w:hAnsi="黑体" w:eastAsia="仿宋_GB2312"/>
          <w:color w:val="000000"/>
          <w:sz w:val="32"/>
          <w:szCs w:val="32"/>
        </w:rPr>
        <w:t>过程可回溯，诊断改进积极有效。</w:t>
      </w:r>
      <w:r>
        <w:rPr>
          <w:rFonts w:hint="eastAsia" w:ascii="仿宋_GB2312" w:hAnsi="仿宋" w:eastAsia="仿宋_GB2312"/>
          <w:color w:val="000000"/>
          <w:sz w:val="32"/>
          <w:szCs w:val="32"/>
        </w:rPr>
        <w:t>教学过程材料完整，可借鉴可监督。</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四、推荐方式</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除</w:t>
      </w:r>
      <w:r>
        <w:rPr>
          <w:rFonts w:hint="eastAsia" w:eastAsia="仿宋_GB2312"/>
          <w:color w:val="000000"/>
          <w:sz w:val="32"/>
          <w:szCs w:val="32"/>
        </w:rPr>
        <w:t>线上一流课程、</w:t>
      </w:r>
      <w:r>
        <w:rPr>
          <w:rFonts w:hint="eastAsia" w:ascii="仿宋_GB2312" w:hAnsi="宋体" w:eastAsia="仿宋_GB2312"/>
          <w:sz w:val="32"/>
          <w:szCs w:val="32"/>
        </w:rPr>
        <w:t>虚拟仿真实验教学一流课程继续按有关文件实施外，线下一流课程、线上线下混合式一流课程和社会实践一流课程采用以下推荐方式</w:t>
      </w:r>
      <w:r>
        <w:rPr>
          <w:rFonts w:hint="eastAsia" w:eastAsia="仿宋_GB2312"/>
          <w:color w:val="000000"/>
          <w:sz w:val="32"/>
          <w:szCs w:val="32"/>
        </w:rPr>
        <w:t>。</w:t>
      </w:r>
    </w:p>
    <w:p>
      <w:pPr>
        <w:adjustRightInd w:val="0"/>
        <w:snapToGrid w:val="0"/>
        <w:spacing w:line="560" w:lineRule="exact"/>
        <w:ind w:firstLine="643" w:firstLineChars="200"/>
        <w:rPr>
          <w:rFonts w:ascii="楷体" w:hAnsi="楷体" w:eastAsia="楷体"/>
          <w:b/>
          <w:color w:val="000000"/>
          <w:sz w:val="32"/>
          <w:szCs w:val="32"/>
        </w:rPr>
      </w:pPr>
      <w:r>
        <w:rPr>
          <w:rFonts w:hint="eastAsia" w:ascii="楷体" w:hAnsi="楷体" w:eastAsia="楷体"/>
          <w:b/>
          <w:color w:val="000000"/>
          <w:sz w:val="32"/>
          <w:szCs w:val="32"/>
        </w:rPr>
        <w:t>（一）推荐总额</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教育部按照国家级线下一流课程、线上线下混合式一流课程和社会实践一流课程三年计划总数</w:t>
      </w:r>
      <w:r>
        <w:rPr>
          <w:rFonts w:ascii="仿宋_GB2312" w:hAnsi="宋体" w:eastAsia="仿宋_GB2312"/>
          <w:sz w:val="32"/>
          <w:szCs w:val="32"/>
        </w:rPr>
        <w:t>确定推荐总额</w:t>
      </w:r>
      <w:r>
        <w:rPr>
          <w:rFonts w:hint="eastAsia" w:ascii="仿宋_GB2312" w:hAnsi="宋体" w:eastAsia="仿宋_GB2312"/>
          <w:sz w:val="32"/>
          <w:szCs w:val="32"/>
        </w:rPr>
        <w:t>，分别下达至中央部门所属高校和各省级教育行政部门。</w:t>
      </w:r>
    </w:p>
    <w:p>
      <w:pPr>
        <w:numPr>
          <w:ilvl w:val="0"/>
          <w:numId w:val="4"/>
        </w:numPr>
        <w:adjustRightInd w:val="0"/>
        <w:snapToGrid w:val="0"/>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分赛道推荐</w:t>
      </w:r>
    </w:p>
    <w:p>
      <w:pPr>
        <w:adjustRightInd w:val="0"/>
        <w:snapToGrid w:val="0"/>
        <w:spacing w:line="560" w:lineRule="exact"/>
        <w:ind w:firstLine="640" w:firstLineChars="200"/>
        <w:rPr>
          <w:rFonts w:ascii="仿宋_GB2312" w:hAnsi="楷体" w:eastAsia="仿宋_GB2312"/>
          <w:sz w:val="32"/>
        </w:rPr>
      </w:pPr>
      <w:r>
        <w:rPr>
          <w:rFonts w:hint="eastAsia" w:ascii="仿宋_GB2312" w:hAnsi="宋体" w:eastAsia="仿宋_GB2312"/>
          <w:sz w:val="32"/>
          <w:szCs w:val="32"/>
        </w:rPr>
        <w:t>按照中央部门所属高校、地方高校的办学定位和培养目标特点分赛道推荐，名额分列。部省合建高校推荐课程纳入中央部门所属高校赛道。</w:t>
      </w:r>
    </w:p>
    <w:p>
      <w:pPr>
        <w:adjustRightInd w:val="0"/>
        <w:snapToGrid w:val="0"/>
        <w:spacing w:line="560" w:lineRule="exact"/>
        <w:ind w:firstLine="643" w:firstLineChars="200"/>
        <w:rPr>
          <w:rFonts w:ascii="楷体" w:hAnsi="楷体" w:eastAsia="楷体"/>
          <w:b/>
          <w:color w:val="000000"/>
          <w:sz w:val="32"/>
          <w:szCs w:val="32"/>
        </w:rPr>
      </w:pPr>
      <w:r>
        <w:rPr>
          <w:rFonts w:hint="eastAsia" w:ascii="楷体" w:hAnsi="楷体" w:eastAsia="楷体"/>
          <w:b/>
          <w:sz w:val="32"/>
        </w:rPr>
        <w:t>（三）推荐方式</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微软雅黑" w:eastAsia="仿宋_GB2312"/>
          <w:sz w:val="32"/>
          <w:szCs w:val="32"/>
        </w:rPr>
        <w:t>中央部门所属高校、</w:t>
      </w:r>
      <w:r>
        <w:rPr>
          <w:rFonts w:hint="eastAsia" w:ascii="仿宋_GB2312" w:hAnsi="宋体" w:eastAsia="仿宋_GB2312"/>
          <w:sz w:val="32"/>
          <w:szCs w:val="32"/>
        </w:rPr>
        <w:t>各</w:t>
      </w:r>
      <w:r>
        <w:rPr>
          <w:rFonts w:hint="eastAsia" w:ascii="仿宋_GB2312" w:hAnsi="楷体" w:eastAsia="仿宋_GB2312"/>
          <w:sz w:val="32"/>
          <w:szCs w:val="32"/>
        </w:rPr>
        <w:t>省级教育行政部门</w:t>
      </w:r>
      <w:r>
        <w:rPr>
          <w:rFonts w:hint="eastAsia" w:ascii="仿宋_GB2312" w:hAnsi="宋体" w:eastAsia="仿宋_GB2312"/>
          <w:sz w:val="32"/>
          <w:szCs w:val="32"/>
        </w:rPr>
        <w:t>根据教育部下达的三年推荐额度，在规定的年度上限数额内推荐。</w:t>
      </w:r>
      <w:r>
        <w:rPr>
          <w:rFonts w:hint="eastAsia" w:ascii="仿宋_GB2312" w:hAnsi="微软雅黑" w:eastAsia="仿宋_GB2312"/>
          <w:sz w:val="32"/>
          <w:szCs w:val="32"/>
        </w:rPr>
        <w:t>教育部直属高校直接报教育部，其他中央部门所属高校、部省合建高校经主管部门同意后报教育部；地方高校由省级教育行政部门统一报教育部。</w:t>
      </w:r>
    </w:p>
    <w:p>
      <w:pPr>
        <w:adjustRightInd w:val="0"/>
        <w:snapToGrid w:val="0"/>
        <w:spacing w:line="560" w:lineRule="exact"/>
        <w:ind w:firstLine="643" w:firstLineChars="200"/>
        <w:rPr>
          <w:rFonts w:ascii="楷体" w:hAnsi="楷体" w:eastAsia="楷体"/>
          <w:b/>
          <w:sz w:val="32"/>
          <w:szCs w:val="32"/>
        </w:rPr>
      </w:pPr>
      <w:r>
        <w:rPr>
          <w:rFonts w:hint="eastAsia" w:ascii="楷体" w:hAnsi="楷体" w:eastAsia="楷体"/>
          <w:b/>
          <w:sz w:val="32"/>
          <w:szCs w:val="32"/>
        </w:rPr>
        <w:t>（四）推荐材料要求</w:t>
      </w:r>
    </w:p>
    <w:p>
      <w:pPr>
        <w:adjustRightInd w:val="0"/>
        <w:snapToGrid w:val="0"/>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课程团队须提交申报书、时长</w:t>
      </w:r>
      <w:r>
        <w:rPr>
          <w:rFonts w:hint="eastAsia" w:eastAsia="仿宋_GB2312"/>
          <w:sz w:val="32"/>
          <w:szCs w:val="32"/>
        </w:rPr>
        <w:t>10分钟</w:t>
      </w:r>
      <w:r>
        <w:rPr>
          <w:rFonts w:hint="eastAsia" w:ascii="仿宋_GB2312" w:hAnsi="楷体" w:eastAsia="仿宋_GB2312"/>
          <w:sz w:val="32"/>
          <w:szCs w:val="32"/>
        </w:rPr>
        <w:t>内的说课视频（包括教学理念、课程设计、课程实施、改革成效等）和其他佐证材料。</w:t>
      </w:r>
    </w:p>
    <w:p>
      <w:pPr>
        <w:adjustRightInd w:val="0"/>
        <w:snapToGrid w:val="0"/>
        <w:spacing w:line="560" w:lineRule="exact"/>
        <w:ind w:firstLine="640" w:firstLineChars="200"/>
        <w:rPr>
          <w:rFonts w:ascii="黑体" w:hAnsi="黑体" w:eastAsia="黑体"/>
          <w:bCs/>
          <w:sz w:val="32"/>
          <w:szCs w:val="32"/>
        </w:rPr>
      </w:pPr>
      <w:r>
        <w:rPr>
          <w:rFonts w:hint="eastAsia" w:ascii="黑体" w:hAnsi="黑体" w:eastAsia="黑体"/>
          <w:bCs/>
          <w:sz w:val="32"/>
          <w:szCs w:val="32"/>
        </w:rPr>
        <w:t>五、认定方式</w:t>
      </w:r>
    </w:p>
    <w:p>
      <w:pPr>
        <w:adjustRightInd w:val="0"/>
        <w:snapToGrid w:val="0"/>
        <w:spacing w:line="560" w:lineRule="exact"/>
        <w:ind w:firstLine="640" w:firstLineChars="200"/>
        <w:rPr>
          <w:rFonts w:ascii="仿宋_GB2312" w:hAnsi="楷体" w:eastAsia="仿宋_GB2312"/>
          <w:bCs/>
          <w:sz w:val="32"/>
          <w:szCs w:val="32"/>
        </w:rPr>
      </w:pPr>
      <w:r>
        <w:rPr>
          <w:rFonts w:hint="eastAsia" w:ascii="仿宋_GB2312" w:hAnsi="黑体" w:eastAsia="仿宋_GB2312"/>
          <w:bCs/>
          <w:sz w:val="32"/>
          <w:szCs w:val="32"/>
        </w:rPr>
        <w:t>教育部分年度组织专家对推荐课程进行认定，经公示后向社会发布。对</w:t>
      </w:r>
      <w:r>
        <w:rPr>
          <w:rFonts w:hint="eastAsia" w:ascii="仿宋_GB2312" w:hAnsi="楷体" w:eastAsia="仿宋_GB2312"/>
          <w:bCs/>
          <w:sz w:val="32"/>
          <w:szCs w:val="32"/>
        </w:rPr>
        <w:t>课程团队成员存在师德师风问题、学术不端问题、五年内出现过重大教学事故，课程内容存在思想性科学性问题的，实行一票否决。</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六、认定课程</w:t>
      </w:r>
      <w:r>
        <w:rPr>
          <w:rFonts w:ascii="黑体" w:hAnsi="黑体" w:eastAsia="黑体"/>
          <w:sz w:val="32"/>
          <w:szCs w:val="32"/>
        </w:rPr>
        <w:t>管理</w:t>
      </w:r>
    </w:p>
    <w:p>
      <w:pPr>
        <w:adjustRightInd w:val="0"/>
        <w:snapToGrid w:val="0"/>
        <w:spacing w:line="560" w:lineRule="exact"/>
        <w:ind w:firstLine="640" w:firstLineChars="200"/>
        <w:rPr>
          <w:rFonts w:ascii="仿宋_GB2312" w:hAnsi="微软雅黑" w:eastAsia="仿宋_GB2312"/>
          <w:sz w:val="32"/>
          <w:szCs w:val="32"/>
        </w:rPr>
      </w:pPr>
      <w:r>
        <w:rPr>
          <w:rFonts w:hint="eastAsia" w:ascii="仿宋_GB2312" w:hAnsi="宋体" w:eastAsia="仿宋_GB2312"/>
          <w:sz w:val="32"/>
          <w:szCs w:val="32"/>
        </w:rPr>
        <w:t>教育部对认定的国家级一流课程实施动态管理，对课程实际应用、教学效果和共享等进行跟踪监测。认定为国家级一流课程的课程须继续建设五年，其建设和改革成果在指定的网站上集中展示和分享，且定期更新资源和数据。</w:t>
      </w:r>
      <w:r>
        <w:rPr>
          <w:rFonts w:hint="eastAsia" w:ascii="仿宋_GB2312" w:hAnsi="微软雅黑" w:eastAsia="仿宋_GB2312"/>
          <w:sz w:val="32"/>
          <w:szCs w:val="32"/>
        </w:rPr>
        <w:t>对于未持续更新完善、出现严重质量问题、课程团队成员出现师德师风等问题的课程，将予以撤销。</w:t>
      </w:r>
    </w:p>
    <w:p>
      <w:pPr>
        <w:adjustRightInd w:val="0"/>
        <w:snapToGrid w:val="0"/>
        <w:spacing w:line="560" w:lineRule="exact"/>
        <w:ind w:firstLine="640" w:firstLineChars="200"/>
        <w:rPr>
          <w:rFonts w:ascii="仿宋_GB2312" w:hAnsi="微软雅黑" w:eastAsia="仿宋_GB231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hint="eastAsia"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ascii="仿宋" w:hAnsi="仿宋" w:eastAsia="仿宋" w:cs="Times New Roman"/>
          <w:kern w:val="2"/>
          <w:sz w:val="32"/>
          <w:szCs w:val="32"/>
        </w:rPr>
      </w:pPr>
    </w:p>
    <w:p>
      <w:pPr>
        <w:pStyle w:val="6"/>
        <w:shd w:val="clear" w:color="auto" w:fill="FFFFFF" w:themeFill="background1"/>
        <w:spacing w:before="0" w:beforeAutospacing="0" w:after="0" w:afterAutospacing="0" w:line="285" w:lineRule="atLeast"/>
        <w:rPr>
          <w:rFonts w:hint="eastAsia" w:ascii="仿宋" w:hAnsi="仿宋" w:eastAsia="仿宋" w:cs="Times New Roman"/>
          <w:kern w:val="2"/>
          <w:sz w:val="32"/>
          <w:szCs w:val="32"/>
        </w:rPr>
      </w:pPr>
      <w:r>
        <w:rPr>
          <w:rFonts w:hint="eastAsia" w:ascii="仿宋" w:hAnsi="仿宋" w:eastAsia="仿宋" w:cs="Times New Roman"/>
          <w:kern w:val="2"/>
          <w:sz w:val="32"/>
          <w:szCs w:val="32"/>
        </w:rPr>
        <w:t>附件3</w:t>
      </w:r>
    </w:p>
    <w:p>
      <w:pPr>
        <w:pStyle w:val="6"/>
        <w:shd w:val="clear" w:color="auto" w:fill="FFFFFF" w:themeFill="background1"/>
        <w:spacing w:before="0" w:beforeAutospacing="0" w:after="0" w:afterAutospacing="0" w:line="285" w:lineRule="atLeast"/>
        <w:jc w:val="center"/>
        <w:rPr>
          <w:rFonts w:hint="eastAsia" w:ascii="仿宋" w:hAnsi="仿宋" w:eastAsia="仿宋" w:cs="Times New Roman"/>
          <w:kern w:val="2"/>
          <w:sz w:val="32"/>
          <w:szCs w:val="32"/>
        </w:rPr>
      </w:pPr>
    </w:p>
    <w:p>
      <w:pPr>
        <w:pStyle w:val="6"/>
        <w:shd w:val="clear" w:color="auto" w:fill="FFFFFF" w:themeFill="background1"/>
        <w:spacing w:before="0" w:beforeAutospacing="0" w:after="0" w:afterAutospacing="0" w:line="240" w:lineRule="atLeast"/>
        <w:jc w:val="right"/>
        <w:rPr>
          <w:rFonts w:asciiTheme="minorEastAsia" w:hAnsiTheme="minorEastAsia" w:eastAsiaTheme="minorEastAsia" w:cstheme="minorEastAsia"/>
          <w:b/>
          <w:bCs/>
          <w:kern w:val="2"/>
          <w:sz w:val="36"/>
          <w:szCs w:val="36"/>
        </w:rPr>
      </w:pPr>
      <w:r>
        <w:rPr>
          <w:rFonts w:hint="eastAsia" w:asciiTheme="minorEastAsia" w:hAnsiTheme="minorEastAsia" w:eastAsiaTheme="minorEastAsia" w:cstheme="minorEastAsia"/>
          <w:b/>
          <w:bCs/>
          <w:kern w:val="2"/>
          <w:sz w:val="36"/>
          <w:szCs w:val="36"/>
        </w:rPr>
        <w:t>福建师范大学国家级和省级在线开放课程汇总表</w:t>
      </w:r>
    </w:p>
    <w:tbl>
      <w:tblPr>
        <w:tblStyle w:val="7"/>
        <w:tblW w:w="8773" w:type="dxa"/>
        <w:tblInd w:w="0" w:type="dxa"/>
        <w:tblLayout w:type="fixed"/>
        <w:tblCellMar>
          <w:top w:w="0" w:type="dxa"/>
          <w:left w:w="0" w:type="dxa"/>
          <w:bottom w:w="0" w:type="dxa"/>
          <w:right w:w="0" w:type="dxa"/>
        </w:tblCellMar>
      </w:tblPr>
      <w:tblGrid>
        <w:gridCol w:w="564"/>
        <w:gridCol w:w="1849"/>
        <w:gridCol w:w="2987"/>
        <w:gridCol w:w="1280"/>
        <w:gridCol w:w="1027"/>
        <w:gridCol w:w="1066"/>
      </w:tblGrid>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序号</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课程名称</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负责人</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级别</w:t>
            </w:r>
          </w:p>
        </w:tc>
        <w:tc>
          <w:tcPr>
            <w:tcW w:w="1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lang w:bidi="ar"/>
              </w:rPr>
              <w:t>立项时间</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大学名师讲语文</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孙绍振</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中国现代文学史Ⅰ</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辜也平</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生命科学学院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走进性科学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江剑平</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生命科学学院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生活药学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林清强</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国家级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地理科学学院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地球概论（日月地与人类）</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余明</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化学与材料学院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中学化学实验及教学研究</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陈燕</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CellMar>
            <w:top w:w="0" w:type="dxa"/>
            <w:left w:w="0" w:type="dxa"/>
            <w:bottom w:w="0" w:type="dxa"/>
            <w:right w:w="0" w:type="dxa"/>
          </w:tblCellMar>
        </w:tblPrEx>
        <w:trPr>
          <w:trHeight w:val="469"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社会历史学院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台湾历史与文化</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谢必震</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网络安全与应用</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陈志德</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离散数学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柯品惠</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体育科学学院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运动生物力学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范毅方</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文采风流：近现代闽籍文人与作家</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吕若涵</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中国现当代散文研究</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袁勇麟</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C语言程序设计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曾智勇</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2016</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bidi="ar"/>
              </w:rPr>
              <w:t>教育学</w:t>
            </w:r>
            <w:r>
              <w:rPr>
                <w:rFonts w:hint="eastAsia" w:ascii="仿宋_GB2312" w:hAnsi="仿宋_GB2312" w:eastAsia="仿宋_GB2312" w:cs="仿宋_GB2312"/>
                <w:color w:val="000000"/>
                <w:kern w:val="0"/>
                <w:sz w:val="24"/>
                <w:lang w:eastAsia="zh-CN" w:bidi="ar"/>
              </w:rPr>
              <w:t>部</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数字时代的学习技术</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杨宁</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文化创意产业</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袁勇麟</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中国古代文学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郭丹</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物理与能源学院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大学物理实验</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郑卫峰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旅游学院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旅游景区开发与管理（网络教育）</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郑耀星</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2017</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中国现代文学史（二）</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辜也平</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文学院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古代汉语</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陈鸿</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65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社会历史学院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中国古代史</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陈寒/郭培贵等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73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社会历史学院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中国近现代史</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谢皆刚/叶青等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73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社会历史学院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世界近现代史</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赖正维/王晓德等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法学院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刑法学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史振郭</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外国语学院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博士生公共英语思辨阅读</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林明金</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传播学院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创新创业中的消费心理洞察</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莫莉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bidi="ar"/>
              </w:rPr>
              <w:t>教育学</w:t>
            </w:r>
            <w:r>
              <w:rPr>
                <w:rFonts w:hint="eastAsia" w:ascii="仿宋_GB2312" w:hAnsi="仿宋_GB2312" w:eastAsia="仿宋_GB2312" w:cs="仿宋_GB2312"/>
                <w:color w:val="000000"/>
                <w:kern w:val="0"/>
                <w:sz w:val="24"/>
                <w:lang w:eastAsia="zh-CN" w:bidi="ar"/>
              </w:rPr>
              <w:t>部</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现代教育技术</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杨宁</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bidi="ar"/>
              </w:rPr>
              <w:t>教育学</w:t>
            </w:r>
            <w:r>
              <w:rPr>
                <w:rFonts w:hint="eastAsia" w:ascii="仿宋_GB2312" w:hAnsi="仿宋_GB2312" w:eastAsia="仿宋_GB2312" w:cs="仿宋_GB2312"/>
                <w:color w:val="000000"/>
                <w:kern w:val="0"/>
                <w:sz w:val="24"/>
                <w:lang w:eastAsia="zh-CN" w:bidi="ar"/>
              </w:rPr>
              <w:t>部</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核心素养导向的课堂教学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余文森</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马克思主义学院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马克思主义基本原理概论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杨小霞</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体育科学学院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体操（健美操、啦啦操）</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方熙嫦</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地理科学学院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地理信息系统导论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余明</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云计算导论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陈志德</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人工智能导论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王开军</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大数据导论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严宣辉</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马克思主义学院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形势与政策</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杨林香</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光电与信息工程学院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网络管理与应用</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吴怡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光电与信息工程学院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数字图像处理</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张先增</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化学与材料学院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结构化学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王丽华</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69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kern w:val="0"/>
                <w:sz w:val="24"/>
                <w:lang w:bidi="ar"/>
              </w:rPr>
              <w:t>教育学</w:t>
            </w:r>
            <w:r>
              <w:rPr>
                <w:rFonts w:hint="eastAsia" w:ascii="仿宋_GB2312" w:hAnsi="仿宋_GB2312" w:eastAsia="仿宋_GB2312" w:cs="仿宋_GB2312"/>
                <w:color w:val="000000"/>
                <w:kern w:val="0"/>
                <w:sz w:val="24"/>
                <w:lang w:eastAsia="zh-CN" w:bidi="ar"/>
              </w:rPr>
              <w:t>部</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教育是什么——柏拉图教育思想简单引论</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毕世响</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数学与信息学院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C++与面向对象程序设计</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张仕</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体育科学学院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运动训练学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陈亮</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体育科学学院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篮球</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徐建华</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外国语学院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职场口笔译</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岳峰</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522"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物理与能源学院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固体物理学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陈水源</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45</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音乐学院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外国民族音乐</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王州</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2018</w:t>
            </w:r>
          </w:p>
        </w:tc>
      </w:tr>
      <w:tr>
        <w:tblPrEx>
          <w:tblCellMar>
            <w:top w:w="0" w:type="dxa"/>
            <w:left w:w="0" w:type="dxa"/>
            <w:bottom w:w="0" w:type="dxa"/>
            <w:right w:w="0" w:type="dxa"/>
          </w:tblCellMar>
        </w:tblPrEx>
        <w:trPr>
          <w:trHeight w:val="629"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46</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音乐学院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声乐教学综合课程（三对“N”教学形式）</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陈俊玲</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default"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2019</w:t>
            </w:r>
          </w:p>
          <w:p>
            <w:pPr>
              <w:widowControl/>
              <w:textAlignment w:val="center"/>
              <w:rPr>
                <w:rFonts w:hint="eastAsia" w:ascii="仿宋_GB2312" w:hAnsi="仿宋_GB2312" w:eastAsia="仿宋_GB2312" w:cs="仿宋_GB2312"/>
                <w:color w:val="000000"/>
                <w:kern w:val="0"/>
                <w:sz w:val="24"/>
                <w:lang w:bidi="ar"/>
              </w:rPr>
            </w:pP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47</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音乐学院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形体美学</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习英</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2019</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48</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音乐学院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美化嗓音-轻松讲课</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林立君</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2019</w:t>
            </w:r>
          </w:p>
        </w:tc>
      </w:tr>
      <w:tr>
        <w:tblPrEx>
          <w:tblCellMar>
            <w:top w:w="0" w:type="dxa"/>
            <w:left w:w="0" w:type="dxa"/>
            <w:bottom w:w="0" w:type="dxa"/>
            <w:right w:w="0" w:type="dxa"/>
          </w:tblCellMar>
        </w:tblPrEx>
        <w:trPr>
          <w:trHeight w:val="476" w:hRule="exact"/>
        </w:trPr>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49</w:t>
            </w:r>
          </w:p>
        </w:tc>
        <w:tc>
          <w:tcPr>
            <w:tcW w:w="18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美术学院</w:t>
            </w:r>
          </w:p>
        </w:tc>
        <w:tc>
          <w:tcPr>
            <w:tcW w:w="29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大学摄影基础</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徐希景</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val="en-US" w:eastAsia="zh-CN" w:bidi="ar"/>
              </w:rPr>
            </w:pPr>
            <w:r>
              <w:rPr>
                <w:rFonts w:hint="eastAsia" w:ascii="仿宋_GB2312" w:hAnsi="仿宋_GB2312" w:eastAsia="仿宋_GB2312" w:cs="仿宋_GB2312"/>
                <w:color w:val="000000"/>
                <w:kern w:val="0"/>
                <w:sz w:val="24"/>
                <w:lang w:val="en-US" w:eastAsia="zh-CN" w:bidi="ar"/>
              </w:rPr>
              <w:t>省级</w:t>
            </w:r>
          </w:p>
        </w:tc>
        <w:tc>
          <w:tcPr>
            <w:tcW w:w="106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2019</w:t>
            </w:r>
          </w:p>
        </w:tc>
      </w:tr>
    </w:tbl>
    <w:p>
      <w:pPr>
        <w:pStyle w:val="6"/>
        <w:shd w:val="clear" w:color="auto" w:fill="FFFFFF" w:themeFill="background1"/>
        <w:spacing w:before="0" w:beforeAutospacing="0" w:after="0" w:afterAutospacing="0" w:line="285" w:lineRule="atLeast"/>
        <w:jc w:val="center"/>
        <w:rPr>
          <w:rFonts w:asciiTheme="minorEastAsia" w:hAnsiTheme="minorEastAsia" w:eastAsiaTheme="minorEastAsia" w:cstheme="minorEastAsia"/>
          <w:b/>
          <w:bCs/>
          <w:kern w:val="2"/>
          <w:sz w:val="36"/>
          <w:szCs w:val="36"/>
        </w:rPr>
      </w:pPr>
    </w:p>
    <w:p>
      <w:pPr>
        <w:pStyle w:val="6"/>
        <w:shd w:val="clear" w:color="auto" w:fill="FFFFFF" w:themeFill="background1"/>
        <w:spacing w:before="0" w:beforeAutospacing="0" w:after="0" w:afterAutospacing="0" w:line="285" w:lineRule="atLeast"/>
        <w:jc w:val="center"/>
        <w:rPr>
          <w:rFonts w:asciiTheme="minorEastAsia" w:hAnsiTheme="minorEastAsia" w:eastAsiaTheme="minorEastAsia" w:cstheme="minorEastAsia"/>
          <w:b/>
          <w:bCs/>
          <w:kern w:val="2"/>
          <w:sz w:val="36"/>
          <w:szCs w:val="36"/>
        </w:rPr>
      </w:pPr>
    </w:p>
    <w:p>
      <w:pPr>
        <w:pStyle w:val="6"/>
        <w:shd w:val="clear" w:color="auto" w:fill="FFFFFF" w:themeFill="background1"/>
        <w:spacing w:before="0" w:beforeAutospacing="0" w:after="0" w:afterAutospacing="0" w:line="285" w:lineRule="atLeast"/>
        <w:jc w:val="left"/>
        <w:rPr>
          <w:rFonts w:hint="eastAsia" w:asciiTheme="minorEastAsia" w:hAnsiTheme="minorEastAsia" w:eastAsiaTheme="minorEastAsia" w:cstheme="minorEastAsia"/>
          <w:b w:val="0"/>
          <w:bCs w:val="0"/>
          <w:kern w:val="2"/>
          <w:sz w:val="32"/>
          <w:szCs w:val="32"/>
          <w:lang w:val="en-US" w:eastAsia="zh-CN"/>
        </w:rPr>
      </w:pPr>
      <w:r>
        <w:rPr>
          <w:rFonts w:hint="eastAsia" w:asciiTheme="minorEastAsia" w:hAnsiTheme="minorEastAsia" w:eastAsiaTheme="minorEastAsia" w:cstheme="minorEastAsia"/>
          <w:b w:val="0"/>
          <w:bCs w:val="0"/>
          <w:kern w:val="2"/>
          <w:sz w:val="32"/>
          <w:szCs w:val="32"/>
          <w:lang w:eastAsia="zh-CN"/>
        </w:rPr>
        <w:t>附件</w:t>
      </w:r>
      <w:r>
        <w:rPr>
          <w:rFonts w:hint="eastAsia" w:asciiTheme="minorEastAsia" w:hAnsiTheme="minorEastAsia" w:eastAsiaTheme="minorEastAsia" w:cstheme="minorEastAsia"/>
          <w:b w:val="0"/>
          <w:bCs w:val="0"/>
          <w:kern w:val="2"/>
          <w:sz w:val="32"/>
          <w:szCs w:val="32"/>
          <w:lang w:val="en-US" w:eastAsia="zh-CN"/>
        </w:rPr>
        <w:t>4</w:t>
      </w:r>
    </w:p>
    <w:p>
      <w:pPr>
        <w:pStyle w:val="6"/>
        <w:shd w:val="clear" w:color="auto" w:fill="FFFFFF" w:themeFill="background1"/>
        <w:spacing w:before="0" w:beforeAutospacing="0" w:after="0" w:afterAutospacing="0" w:line="285" w:lineRule="atLeast"/>
        <w:jc w:val="center"/>
        <w:rPr>
          <w:rFonts w:hint="eastAsia" w:asciiTheme="minorEastAsia" w:hAnsiTheme="minorEastAsia" w:eastAsiaTheme="minorEastAsia" w:cstheme="minorEastAsia"/>
          <w:b/>
          <w:bCs/>
          <w:kern w:val="2"/>
          <w:sz w:val="36"/>
          <w:szCs w:val="36"/>
          <w:lang w:val="en-US" w:eastAsia="zh-CN"/>
        </w:rPr>
      </w:pPr>
      <w:r>
        <w:rPr>
          <w:rFonts w:hint="eastAsia" w:asciiTheme="minorEastAsia" w:hAnsiTheme="minorEastAsia" w:eastAsiaTheme="minorEastAsia" w:cstheme="minorEastAsia"/>
          <w:b/>
          <w:bCs/>
          <w:kern w:val="2"/>
          <w:sz w:val="36"/>
          <w:szCs w:val="36"/>
          <w:lang w:val="en-US" w:eastAsia="zh-CN"/>
        </w:rPr>
        <w:t>推荐参评国家级一流本科专业建设点及入选省级</w:t>
      </w:r>
    </w:p>
    <w:p>
      <w:pPr>
        <w:pStyle w:val="6"/>
        <w:shd w:val="clear" w:color="auto" w:fill="FFFFFF" w:themeFill="background1"/>
        <w:spacing w:before="0" w:beforeAutospacing="0" w:after="0" w:afterAutospacing="0" w:line="285" w:lineRule="atLeast"/>
        <w:jc w:val="center"/>
        <w:rPr>
          <w:rFonts w:hint="eastAsia" w:asciiTheme="minorEastAsia" w:hAnsiTheme="minorEastAsia" w:eastAsiaTheme="minorEastAsia" w:cstheme="minorEastAsia"/>
          <w:b/>
          <w:bCs/>
          <w:kern w:val="2"/>
          <w:sz w:val="36"/>
          <w:szCs w:val="36"/>
          <w:lang w:val="en-US" w:eastAsia="zh-CN"/>
        </w:rPr>
      </w:pPr>
      <w:r>
        <w:rPr>
          <w:rFonts w:hint="eastAsia" w:asciiTheme="minorEastAsia" w:hAnsiTheme="minorEastAsia" w:eastAsiaTheme="minorEastAsia" w:cstheme="minorEastAsia"/>
          <w:b/>
          <w:bCs/>
          <w:kern w:val="2"/>
          <w:sz w:val="36"/>
          <w:szCs w:val="36"/>
          <w:lang w:val="en-US" w:eastAsia="zh-CN"/>
        </w:rPr>
        <w:t>一流本科专业建设点专业名单</w:t>
      </w:r>
    </w:p>
    <w:tbl>
      <w:tblPr>
        <w:tblStyle w:val="7"/>
        <w:tblpPr w:leftFromText="180" w:rightFromText="180" w:vertAnchor="text" w:horzAnchor="page" w:tblpX="1141" w:tblpY="189"/>
        <w:tblOverlap w:val="never"/>
        <w:tblW w:w="9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30"/>
        <w:gridCol w:w="2265"/>
        <w:gridCol w:w="4000"/>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trPr>
        <w:tc>
          <w:tcPr>
            <w:tcW w:w="730" w:type="dxa"/>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lang w:bidi="ar"/>
              </w:rPr>
              <w:t>序号</w:t>
            </w:r>
          </w:p>
        </w:tc>
        <w:tc>
          <w:tcPr>
            <w:tcW w:w="2265" w:type="dxa"/>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lang w:bidi="ar"/>
              </w:rPr>
              <w:t>专业名称</w:t>
            </w:r>
          </w:p>
        </w:tc>
        <w:tc>
          <w:tcPr>
            <w:tcW w:w="4000" w:type="dxa"/>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kern w:val="0"/>
                <w:sz w:val="24"/>
                <w:szCs w:val="24"/>
                <w:lang w:bidi="ar"/>
              </w:rPr>
              <w:t>所在学院</w:t>
            </w:r>
          </w:p>
        </w:tc>
        <w:tc>
          <w:tcPr>
            <w:tcW w:w="2614" w:type="dxa"/>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auto"/>
                <w:sz w:val="24"/>
                <w:szCs w:val="24"/>
                <w:lang w:eastAsia="zh-CN"/>
              </w:rPr>
            </w:pPr>
            <w:r>
              <w:rPr>
                <w:rFonts w:hint="eastAsia" w:ascii="仿宋_GB2312" w:hAnsi="仿宋_GB2312" w:eastAsia="仿宋_GB2312" w:cs="仿宋_GB2312"/>
                <w:b/>
                <w:color w:val="auto"/>
                <w:kern w:val="0"/>
                <w:sz w:val="24"/>
                <w:szCs w:val="24"/>
                <w:lang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经济学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经济学院</w:t>
            </w:r>
          </w:p>
        </w:tc>
        <w:tc>
          <w:tcPr>
            <w:tcW w:w="2614" w:type="dxa"/>
            <w:vMerge w:val="restart"/>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lang w:eastAsia="zh-CN"/>
              </w:rPr>
            </w:pPr>
            <w:r>
              <w:rPr>
                <w:rFonts w:hint="eastAsia" w:ascii="仿宋_GB2312" w:hAnsi="仿宋_GB2312" w:eastAsia="仿宋_GB2312" w:cs="仿宋_GB2312"/>
                <w:color w:val="auto"/>
                <w:w w:val="90"/>
                <w:sz w:val="24"/>
                <w:szCs w:val="24"/>
                <w:lang w:eastAsia="zh-CN"/>
              </w:rPr>
              <w:t>推荐申报国家级并入选省级一流本科专业建设点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汉语言文学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文学院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3</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历史学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社会历史学院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4</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体育教育</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体育科学学院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5</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美术学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美术学院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6</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数学与应用数学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数学与信息学院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7</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音乐学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音乐学院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8</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英语</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外国语学院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9</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物理学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物理与能源学院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10</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地理科学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地理科学学院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11</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化学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化学与材料学院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12</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生物工程</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生命科学学院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13</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光电信息科学与工程</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光电与信息工程学院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14</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心理学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心理学院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15</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思想政治教育</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马克思主义学院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16</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学前教育</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lang w:eastAsia="zh-CN"/>
              </w:rPr>
            </w:pPr>
            <w:r>
              <w:rPr>
                <w:rFonts w:hint="eastAsia" w:ascii="仿宋_GB2312" w:hAnsi="仿宋_GB2312" w:eastAsia="仿宋_GB2312" w:cs="仿宋_GB2312"/>
                <w:color w:val="auto"/>
                <w:w w:val="90"/>
                <w:sz w:val="24"/>
                <w:szCs w:val="24"/>
                <w:lang w:eastAsia="zh-CN"/>
              </w:rPr>
              <w:t>教育学部</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17</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教育学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lang w:eastAsia="zh-CN"/>
              </w:rPr>
            </w:pPr>
            <w:r>
              <w:rPr>
                <w:rFonts w:hint="eastAsia" w:ascii="仿宋_GB2312" w:hAnsi="仿宋_GB2312" w:eastAsia="仿宋_GB2312" w:cs="仿宋_GB2312"/>
                <w:color w:val="auto"/>
                <w:w w:val="90"/>
                <w:sz w:val="24"/>
                <w:szCs w:val="24"/>
                <w:lang w:eastAsia="zh-CN"/>
              </w:rPr>
              <w:t>教育学部</w:t>
            </w:r>
          </w:p>
        </w:tc>
        <w:tc>
          <w:tcPr>
            <w:tcW w:w="2614" w:type="dxa"/>
            <w:vMerge w:val="restart"/>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lang w:eastAsia="zh-CN"/>
              </w:rPr>
              <w:t>推荐申报国家级并入选省级一流本科专业建设点（培育）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18</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计算机科学与技术</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数学与信息学院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19</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旅游管理</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旅游学院</w:t>
            </w:r>
          </w:p>
        </w:tc>
        <w:tc>
          <w:tcPr>
            <w:tcW w:w="2614" w:type="dxa"/>
            <w:vMerge w:val="continue"/>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20</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材料物理</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物理与能源学院</w:t>
            </w:r>
          </w:p>
        </w:tc>
        <w:tc>
          <w:tcPr>
            <w:tcW w:w="2614" w:type="dxa"/>
            <w:vMerge w:val="restart"/>
            <w:shd w:val="clear" w:color="auto" w:fill="auto"/>
            <w:noWrap/>
            <w:tcMar>
              <w:top w:w="15" w:type="dxa"/>
              <w:left w:w="15" w:type="dxa"/>
              <w:right w:w="15" w:type="dxa"/>
            </w:tcMar>
            <w:vAlign w:val="center"/>
          </w:tcPr>
          <w:p>
            <w:pPr>
              <w:spacing w:line="260" w:lineRule="exact"/>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color w:val="auto"/>
                <w:w w:val="90"/>
                <w:sz w:val="24"/>
                <w:szCs w:val="24"/>
                <w:lang w:eastAsia="zh-CN"/>
              </w:rPr>
              <w:t>入选省级一流本科专业建设点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21</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环境工程</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环境科学与工程学院</w:t>
            </w:r>
          </w:p>
        </w:tc>
        <w:tc>
          <w:tcPr>
            <w:tcW w:w="2614" w:type="dxa"/>
            <w:vMerge w:val="continue"/>
            <w:shd w:val="clear" w:color="auto" w:fill="auto"/>
            <w:noWrap/>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22</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舞蹈学</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音乐学院</w:t>
            </w:r>
          </w:p>
        </w:tc>
        <w:tc>
          <w:tcPr>
            <w:tcW w:w="2614" w:type="dxa"/>
            <w:vMerge w:val="restart"/>
            <w:shd w:val="clear" w:color="auto" w:fill="auto"/>
            <w:noWrap/>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lang w:eastAsia="zh-CN"/>
              </w:rPr>
              <w:t>入选省级一流本科专业建设点（培育）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3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23</w:t>
            </w:r>
          </w:p>
        </w:tc>
        <w:tc>
          <w:tcPr>
            <w:tcW w:w="2265"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国际经济与贸易</w:t>
            </w:r>
          </w:p>
        </w:tc>
        <w:tc>
          <w:tcPr>
            <w:tcW w:w="4000" w:type="dxa"/>
            <w:shd w:val="clear" w:color="auto" w:fill="auto"/>
            <w:noWrap w:val="0"/>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r>
              <w:rPr>
                <w:rFonts w:hint="eastAsia" w:ascii="仿宋_GB2312" w:hAnsi="仿宋_GB2312" w:eastAsia="仿宋_GB2312" w:cs="仿宋_GB2312"/>
                <w:color w:val="auto"/>
                <w:w w:val="90"/>
                <w:sz w:val="24"/>
                <w:szCs w:val="24"/>
              </w:rPr>
              <w:t>经济学院</w:t>
            </w:r>
          </w:p>
        </w:tc>
        <w:tc>
          <w:tcPr>
            <w:tcW w:w="2614" w:type="dxa"/>
            <w:vMerge w:val="continue"/>
            <w:shd w:val="clear" w:color="auto" w:fill="auto"/>
            <w:noWrap/>
            <w:tcMar>
              <w:top w:w="15" w:type="dxa"/>
              <w:left w:w="15" w:type="dxa"/>
              <w:right w:w="15" w:type="dxa"/>
            </w:tcMar>
            <w:vAlign w:val="center"/>
          </w:tcPr>
          <w:p>
            <w:pPr>
              <w:spacing w:line="260" w:lineRule="exact"/>
              <w:jc w:val="center"/>
              <w:rPr>
                <w:rFonts w:hint="eastAsia" w:ascii="仿宋_GB2312" w:hAnsi="仿宋_GB2312" w:eastAsia="仿宋_GB2312" w:cs="仿宋_GB2312"/>
                <w:color w:val="auto"/>
                <w:w w:val="90"/>
                <w:sz w:val="24"/>
                <w:szCs w:val="24"/>
              </w:rPr>
            </w:pPr>
          </w:p>
        </w:tc>
      </w:tr>
    </w:tbl>
    <w:p>
      <w:pPr>
        <w:pStyle w:val="6"/>
        <w:shd w:val="clear" w:color="auto" w:fill="FFFFFF" w:themeFill="background1"/>
        <w:spacing w:before="0" w:beforeAutospacing="0" w:after="0" w:afterAutospacing="0" w:line="240" w:lineRule="auto"/>
        <w:jc w:val="center"/>
        <w:rPr>
          <w:rFonts w:hint="default" w:asciiTheme="minorEastAsia" w:hAnsiTheme="minorEastAsia" w:eastAsiaTheme="minorEastAsia" w:cstheme="minorEastAsia"/>
          <w:b/>
          <w:bCs/>
          <w:kern w:val="2"/>
          <w:sz w:val="36"/>
          <w:szCs w:val="36"/>
          <w:lang w:val="en-US" w:eastAsia="zh-CN"/>
        </w:rPr>
      </w:pPr>
    </w:p>
    <w:p>
      <w:pPr>
        <w:pStyle w:val="6"/>
        <w:shd w:val="clear" w:color="auto" w:fill="FFFFFF" w:themeFill="background1"/>
        <w:spacing w:before="0" w:beforeAutospacing="0" w:after="0" w:afterAutospacing="0" w:line="240" w:lineRule="auto"/>
        <w:jc w:val="center"/>
        <w:rPr>
          <w:rFonts w:hint="default" w:asciiTheme="minorEastAsia" w:hAnsiTheme="minorEastAsia" w:eastAsiaTheme="minorEastAsia" w:cstheme="minorEastAsia"/>
          <w:b/>
          <w:bCs/>
          <w:kern w:val="2"/>
          <w:sz w:val="36"/>
          <w:szCs w:val="36"/>
          <w:lang w:val="en-US" w:eastAsia="zh-CN"/>
        </w:rPr>
      </w:pPr>
    </w:p>
    <w:p>
      <w:pPr>
        <w:pStyle w:val="6"/>
        <w:shd w:val="clear" w:color="auto" w:fill="FFFFFF" w:themeFill="background1"/>
        <w:spacing w:before="0" w:beforeAutospacing="0" w:after="0" w:afterAutospacing="0" w:line="240" w:lineRule="auto"/>
        <w:jc w:val="center"/>
        <w:rPr>
          <w:rFonts w:hint="default" w:asciiTheme="minorEastAsia" w:hAnsiTheme="minorEastAsia" w:eastAsiaTheme="minorEastAsia" w:cstheme="minorEastAsia"/>
          <w:b/>
          <w:bCs/>
          <w:kern w:val="2"/>
          <w:sz w:val="36"/>
          <w:szCs w:val="36"/>
          <w:lang w:val="en-US" w:eastAsia="zh-CN"/>
        </w:rPr>
      </w:pPr>
    </w:p>
    <w:p>
      <w:pPr>
        <w:pStyle w:val="6"/>
        <w:shd w:val="clear" w:color="auto" w:fill="FFFFFF" w:themeFill="background1"/>
        <w:spacing w:before="0" w:beforeAutospacing="0" w:after="0" w:afterAutospacing="0" w:line="240" w:lineRule="auto"/>
        <w:jc w:val="center"/>
        <w:rPr>
          <w:rFonts w:hint="eastAsia" w:asciiTheme="minorEastAsia" w:hAnsiTheme="minorEastAsia" w:eastAsiaTheme="minorEastAsia" w:cstheme="minorEastAsia"/>
          <w:b w:val="0"/>
          <w:bCs w:val="0"/>
          <w:kern w:val="2"/>
          <w:sz w:val="32"/>
          <w:szCs w:val="32"/>
          <w:lang w:val="en-US" w:eastAsia="zh-CN"/>
        </w:rPr>
      </w:pPr>
    </w:p>
    <w:p>
      <w:pPr>
        <w:pStyle w:val="6"/>
        <w:shd w:val="clear" w:color="auto" w:fill="FFFFFF" w:themeFill="background1"/>
        <w:spacing w:before="0" w:beforeAutospacing="0" w:after="0" w:afterAutospacing="0" w:line="240" w:lineRule="auto"/>
        <w:jc w:val="both"/>
        <w:rPr>
          <w:rFonts w:hint="eastAsia" w:asciiTheme="minorEastAsia" w:hAnsiTheme="minorEastAsia" w:eastAsiaTheme="minorEastAsia" w:cstheme="minorEastAsia"/>
          <w:b w:val="0"/>
          <w:bCs w:val="0"/>
          <w:kern w:val="2"/>
          <w:sz w:val="32"/>
          <w:szCs w:val="32"/>
          <w:lang w:val="en-US" w:eastAsia="zh-CN"/>
        </w:rPr>
      </w:pPr>
      <w:r>
        <w:rPr>
          <w:rFonts w:hint="eastAsia" w:asciiTheme="minorEastAsia" w:hAnsiTheme="minorEastAsia" w:eastAsiaTheme="minorEastAsia" w:cstheme="minorEastAsia"/>
          <w:b w:val="0"/>
          <w:bCs w:val="0"/>
          <w:kern w:val="2"/>
          <w:sz w:val="32"/>
          <w:szCs w:val="32"/>
          <w:lang w:val="en-US" w:eastAsia="zh-CN"/>
        </w:rPr>
        <w:t>附件5</w:t>
      </w:r>
    </w:p>
    <w:p>
      <w:pPr>
        <w:pStyle w:val="6"/>
        <w:shd w:val="clear" w:color="auto" w:fill="FFFFFF" w:themeFill="background1"/>
        <w:spacing w:before="0" w:beforeAutospacing="0" w:after="0" w:afterAutospacing="0" w:line="240" w:lineRule="auto"/>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val="en-US" w:eastAsia="zh-CN"/>
        </w:rPr>
        <w:t>我校获批立项的</w:t>
      </w:r>
      <w:r>
        <w:rPr>
          <w:rFonts w:hint="eastAsia" w:asciiTheme="majorEastAsia" w:hAnsiTheme="majorEastAsia" w:eastAsiaTheme="majorEastAsia" w:cstheme="majorEastAsia"/>
          <w:b/>
          <w:bCs/>
          <w:sz w:val="36"/>
          <w:szCs w:val="36"/>
        </w:rPr>
        <w:t>省校</w:t>
      </w:r>
      <w:r>
        <w:rPr>
          <w:rFonts w:hint="eastAsia" w:asciiTheme="majorEastAsia" w:hAnsiTheme="majorEastAsia" w:eastAsiaTheme="majorEastAsia" w:cstheme="majorEastAsia"/>
          <w:b/>
          <w:bCs/>
          <w:sz w:val="36"/>
          <w:szCs w:val="36"/>
          <w:lang w:eastAsia="zh-CN"/>
        </w:rPr>
        <w:t>两</w:t>
      </w:r>
      <w:r>
        <w:rPr>
          <w:rFonts w:hint="eastAsia" w:asciiTheme="majorEastAsia" w:hAnsiTheme="majorEastAsia" w:eastAsiaTheme="majorEastAsia" w:cstheme="majorEastAsia"/>
          <w:b/>
          <w:bCs/>
          <w:sz w:val="36"/>
          <w:szCs w:val="36"/>
        </w:rPr>
        <w:t>级教学团队</w:t>
      </w:r>
      <w:r>
        <w:rPr>
          <w:rFonts w:hint="eastAsia" w:asciiTheme="majorEastAsia" w:hAnsiTheme="majorEastAsia" w:eastAsiaTheme="majorEastAsia" w:cstheme="majorEastAsia"/>
          <w:b/>
          <w:bCs/>
          <w:sz w:val="36"/>
          <w:szCs w:val="36"/>
          <w:lang w:eastAsia="zh-CN"/>
        </w:rPr>
        <w:t>汇总表</w:t>
      </w:r>
    </w:p>
    <w:tbl>
      <w:tblPr>
        <w:tblStyle w:val="7"/>
        <w:tblW w:w="9373" w:type="dxa"/>
        <w:jc w:val="center"/>
        <w:shd w:val="clear" w:color="auto" w:fill="auto"/>
        <w:tblLayout w:type="fixed"/>
        <w:tblCellMar>
          <w:top w:w="0" w:type="dxa"/>
          <w:left w:w="0" w:type="dxa"/>
          <w:bottom w:w="0" w:type="dxa"/>
          <w:right w:w="0" w:type="dxa"/>
        </w:tblCellMar>
      </w:tblPr>
      <w:tblGrid>
        <w:gridCol w:w="600"/>
        <w:gridCol w:w="1740"/>
        <w:gridCol w:w="4440"/>
        <w:gridCol w:w="1620"/>
        <w:gridCol w:w="973"/>
      </w:tblGrid>
      <w:tr>
        <w:tblPrEx>
          <w:shd w:val="clear" w:color="auto" w:fill="auto"/>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学  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团队名称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负责人</w:t>
            </w:r>
          </w:p>
        </w:tc>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级别</w:t>
            </w:r>
          </w:p>
        </w:tc>
      </w:tr>
      <w:tr>
        <w:tblPrEx>
          <w:tblCellMar>
            <w:top w:w="0" w:type="dxa"/>
            <w:left w:w="0" w:type="dxa"/>
            <w:bottom w:w="0" w:type="dxa"/>
            <w:right w:w="0" w:type="dxa"/>
          </w:tblCellMar>
        </w:tblPrEx>
        <w:trPr>
          <w:trHeight w:val="708"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习近平新时代中国特色社会主义思想</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“三进”工作教学团队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杨林香</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省级</w:t>
            </w:r>
          </w:p>
        </w:tc>
      </w:tr>
      <w:tr>
        <w:tblPrEx>
          <w:tblCellMar>
            <w:top w:w="0" w:type="dxa"/>
            <w:left w:w="0" w:type="dxa"/>
            <w:bottom w:w="0" w:type="dxa"/>
            <w:right w:w="0" w:type="dxa"/>
          </w:tblCellMar>
        </w:tblPrEx>
        <w:trPr>
          <w:trHeight w:val="72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地理学国家人才培养基地创新性人才培养团队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陈松林</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物理与能源学院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能源与材料类新工科专业课程教学团队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黄志高</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CellMar>
            <w:top w:w="0" w:type="dxa"/>
            <w:left w:w="0" w:type="dxa"/>
            <w:bottom w:w="0" w:type="dxa"/>
            <w:right w:w="0" w:type="dxa"/>
          </w:tblCellMar>
        </w:tblPrEx>
        <w:trPr>
          <w:trHeight w:val="66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海外教育学院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福建师大服务“海上丝绸之路”汉语国际推广教学团队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林新年</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光电与信息工程学院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信息技术实验教学团队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 怡</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数学与信息学院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网络环境智能计算实验教学团队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 崧</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b w:val="0"/>
                <w:bCs w:val="0"/>
                <w:i w:val="0"/>
                <w:color w:val="000000"/>
                <w:sz w:val="24"/>
                <w:szCs w:val="24"/>
                <w:u w:val="none"/>
              </w:rPr>
            </w:pPr>
          </w:p>
        </w:tc>
      </w:tr>
      <w:tr>
        <w:tblPrEx>
          <w:tblCellMar>
            <w:top w:w="0" w:type="dxa"/>
            <w:left w:w="0" w:type="dxa"/>
            <w:bottom w:w="0" w:type="dxa"/>
            <w:right w:w="0" w:type="dxa"/>
          </w:tblCellMar>
        </w:tblPrEx>
        <w:trPr>
          <w:trHeight w:val="72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传播学院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深化内涵、构建融媒体人才培养新机制——广播电视学专业教学团队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吴青青</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000000"/>
                <w:sz w:val="24"/>
                <w:szCs w:val="24"/>
                <w:u w:val="none"/>
              </w:rPr>
            </w:pPr>
            <w:r>
              <w:rPr>
                <w:rFonts w:hint="eastAsia" w:ascii="仿宋_GB2312" w:hAnsi="仿宋_GB2312" w:eastAsia="仿宋_GB2312" w:cs="仿宋_GB2312"/>
                <w:b w:val="0"/>
                <w:bCs w:val="0"/>
                <w:i w:val="0"/>
                <w:color w:val="000000"/>
                <w:kern w:val="0"/>
                <w:sz w:val="24"/>
                <w:szCs w:val="24"/>
                <w:u w:val="none"/>
                <w:lang w:val="en-US" w:eastAsia="zh-CN" w:bidi="ar"/>
              </w:rPr>
              <w:t>校级</w:t>
            </w: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传播学院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卓越新闻主持人教学团队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彭  飙</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地理科学专业教学团队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刘恭祥</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地理科学学院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生态学专业实践教学团队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李守中</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法学院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民商法理论与实务教学团队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林旭霞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公共管理学院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劳动与社会保障专业核心课程建设团队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谢宏忠</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光电与信息工程学院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光机电算一体化教学团队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李  晖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738"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海外教育学院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“数字媒体技术与网络工程”双师型国际化教学团队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林新年</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化学与材料学院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化工专业教学团队      </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黄紫洋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化学与材料学院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卓越化学教师创新教育教学团队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郑柳萍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化学与材料学院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“本研互动贯通”指导教学团队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项生昌</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环境科学与工程学院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环境学理论及综合实验课程教学团队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苏玉萍</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教育学部</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学前教育实践教学团队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吴荔红   </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政治经济学教学团队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黎元生</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旅游学院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酒店管理专业教学团队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游  上</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马克思主义学院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思政理论大课堂教学团队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  志</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江启华</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美术与设计实践教学团队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罗礼平</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社会历史学院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历史学专业教学团队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叶  青</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生命科学学院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生物工程专业实践教学团队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章文贤</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生命科学学院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大健康通识教育幕课团队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林清强</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数学与信息学院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软件工程专业教学团队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肖如良</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数学与信息学院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概率论与数理统计公共基础课程教学团队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陈晓平</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体育科学学院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运动人体科学实验教学团队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陈海春</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英语学科教学论教学团队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兰春寿</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外国语学院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公共外语数字教学资源建设团队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林元富</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文学院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中国古代文学课程群教学团队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刘曙初</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物理与能源学院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林  钦</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90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物理与能源学院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基于信息化共享的先进材料与新能源工程实验中心实践教学团队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陈水源</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33" w:hRule="exac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心理学院</w:t>
            </w:r>
          </w:p>
        </w:tc>
        <w:tc>
          <w:tcPr>
            <w:tcW w:w="44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心理学专业教学团队</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孟迎芳</w:t>
            </w: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_GB2312" w:hAnsi="仿宋_GB2312" w:eastAsia="仿宋_GB2312" w:cs="仿宋_GB2312"/>
                <w:i w:val="0"/>
                <w:color w:val="000000"/>
                <w:sz w:val="24"/>
                <w:szCs w:val="24"/>
                <w:u w:val="none"/>
              </w:rPr>
            </w:pPr>
          </w:p>
        </w:tc>
      </w:tr>
    </w:tbl>
    <w:p>
      <w:pPr>
        <w:pStyle w:val="6"/>
        <w:shd w:val="clear" w:color="auto" w:fill="FFFFFF" w:themeFill="background1"/>
        <w:spacing w:before="0" w:beforeAutospacing="0" w:after="0" w:afterAutospacing="0" w:line="240" w:lineRule="auto"/>
        <w:jc w:val="both"/>
        <w:rPr>
          <w:rFonts w:hint="default" w:asciiTheme="majorEastAsia" w:hAnsiTheme="majorEastAsia" w:eastAsiaTheme="majorEastAsia" w:cstheme="majorEastAsia"/>
          <w:b/>
          <w:bCs/>
          <w:sz w:val="36"/>
          <w:szCs w:val="36"/>
          <w:lang w:val="en-US" w:eastAsia="zh-CN"/>
        </w:rPr>
      </w:pPr>
    </w:p>
    <w:sectPr>
      <w:pgSz w:w="11906" w:h="16838"/>
      <w:pgMar w:top="1440" w:right="1797" w:bottom="1440" w:left="1797"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8"/>
        <w:szCs w:val="28"/>
      </w:rPr>
    </w:pPr>
    <w:r>
      <w:rPr>
        <w:sz w:val="2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a6opa8BAABMAwAADgAAAGRycy9lMm9Eb2MueG1srVPNThsxEL5X4h0s&#10;34mXC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Fmd3TonjFme0+/Vz9/vv7s8T+ZL70weoMe0hYGIarvyAuaMf0JllDyra/EVB&#10;BOPY6e2xu3JIRORHs+lsVmFIYGy8ID57fh4ipFvpLclGQyOOr3SVb75C2qeOKbma8zfamDJC4/5z&#10;IGb2sMx9zzFbaVgOB0FL325RT4+Tb6jD1aTE3DlsbF6S0YijsRyNdYh61ZUtyvUgXK4TkijccoU9&#10;7KEwjqyoO6xX3omX95L1/BMs/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ia6opa8BAABM&#10;AwAADgAAAAAAAAABACAAAAAeAQAAZHJzL2Uyb0RvYy54bWxQSwUGAAAAAAYABgBZAQAAP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3fm4TrgEAAEwD&#10;AAAOAAAAAAAAAAEAIAAAAB4BAABkcnMvZTJvRG9jLnhtbFBLBQYAAAAABgAGAFkBAAA+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pPr>
                          <w:r>
                            <w:fldChar w:fldCharType="begin"/>
                          </w:r>
                          <w:r>
                            <w:instrText xml:space="preserve"> PAGE   \* MERGEFORMAT </w:instrText>
                          </w:r>
                          <w:r>
                            <w:fldChar w:fldCharType="separate"/>
                          </w:r>
                          <w:r>
                            <w:rPr>
                              <w:lang w:val="zh-CN"/>
                            </w:rPr>
                            <w:t>28</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BHeK4BAABMAwAADgAAAGRycy9lMm9Eb2MueG1srVPBThsxEL1X4h8s&#10;34mXIKF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Fmd3TonjFme0+/W8+/139+cnucj96X2sMe3JY2IarmHA3NEf0ZllDyrY/EVB&#10;BOPY6e2xu3JIRORHs+lsVmFIYGy8ID57ee5DTHcSLMlGQwOOr3SVbx5i2qeOKbmag1ttTBmhcW8c&#10;iJk9LHPfc8xWGpbDQdAS2i3q6XHyDXW4mpSYe4eNzUsyGmE0lqOx9kGvurJFuV70V+uEJAq3XGEP&#10;eyiMIyvqDuuVd+L1vWS9/ASL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fAEd4rgEAAEwD&#10;AAAOAAAAAAAAAAEAIAAAAB4BAABkcnMvZTJvRG9jLnhtbFBLBQYAAAAABgAGAFkBAAA+BQAAA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28</w:t>
                    </w:r>
                    <w:r>
                      <w:fldChar w:fldCharType="end"/>
                    </w:r>
                  </w:p>
                </w:txbxContent>
              </v:textbox>
            </v:shape>
          </w:pict>
        </mc:Fallback>
      </mc:AlternateContent>
    </w:r>
  </w:p>
  <w:p>
    <w:pPr>
      <w:pStyle w:val="4"/>
      <w:jc w:val="center"/>
      <w:rPr>
        <w:b/>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97825E"/>
    <w:multiLevelType w:val="singleLevel"/>
    <w:tmpl w:val="CE97825E"/>
    <w:lvl w:ilvl="0" w:tentative="0">
      <w:start w:val="2"/>
      <w:numFmt w:val="chineseCounting"/>
      <w:suff w:val="nothing"/>
      <w:lvlText w:val="（%1）"/>
      <w:lvlJc w:val="left"/>
      <w:rPr>
        <w:rFonts w:hint="eastAsia"/>
      </w:rPr>
    </w:lvl>
  </w:abstractNum>
  <w:abstractNum w:abstractNumId="1">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2">
    <w:nsid w:val="395651AB"/>
    <w:multiLevelType w:val="singleLevel"/>
    <w:tmpl w:val="395651AB"/>
    <w:lvl w:ilvl="0" w:tentative="0">
      <w:start w:val="2"/>
      <w:numFmt w:val="chineseCounting"/>
      <w:suff w:val="nothing"/>
      <w:lvlText w:val="（%1）"/>
      <w:lvlJc w:val="left"/>
      <w:rPr>
        <w:rFonts w:hint="eastAsia"/>
      </w:rPr>
    </w:lvl>
  </w:abstractNum>
  <w:abstractNum w:abstractNumId="3">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B"/>
    <w:rsid w:val="0000721E"/>
    <w:rsid w:val="0001097D"/>
    <w:rsid w:val="00014CA0"/>
    <w:rsid w:val="000414CC"/>
    <w:rsid w:val="00043F3E"/>
    <w:rsid w:val="00044723"/>
    <w:rsid w:val="0005410E"/>
    <w:rsid w:val="00062C40"/>
    <w:rsid w:val="00062DC9"/>
    <w:rsid w:val="00067C82"/>
    <w:rsid w:val="00090107"/>
    <w:rsid w:val="000D0A87"/>
    <w:rsid w:val="000E51ED"/>
    <w:rsid w:val="00100225"/>
    <w:rsid w:val="00172D53"/>
    <w:rsid w:val="0017603C"/>
    <w:rsid w:val="00177308"/>
    <w:rsid w:val="00177D57"/>
    <w:rsid w:val="0018580D"/>
    <w:rsid w:val="001B3FC6"/>
    <w:rsid w:val="001D2133"/>
    <w:rsid w:val="001E4868"/>
    <w:rsid w:val="00223591"/>
    <w:rsid w:val="002272A6"/>
    <w:rsid w:val="00233F5B"/>
    <w:rsid w:val="00234C0F"/>
    <w:rsid w:val="00235E98"/>
    <w:rsid w:val="002544BC"/>
    <w:rsid w:val="00260D1D"/>
    <w:rsid w:val="00266412"/>
    <w:rsid w:val="00270E57"/>
    <w:rsid w:val="00281A01"/>
    <w:rsid w:val="002E6854"/>
    <w:rsid w:val="003661BA"/>
    <w:rsid w:val="003741B9"/>
    <w:rsid w:val="0039264D"/>
    <w:rsid w:val="00397E15"/>
    <w:rsid w:val="003B1F3B"/>
    <w:rsid w:val="003C7748"/>
    <w:rsid w:val="003D1B17"/>
    <w:rsid w:val="003E3DE0"/>
    <w:rsid w:val="003F3D48"/>
    <w:rsid w:val="003F50F0"/>
    <w:rsid w:val="004048B8"/>
    <w:rsid w:val="004143E3"/>
    <w:rsid w:val="00422EB8"/>
    <w:rsid w:val="004252CE"/>
    <w:rsid w:val="004733DB"/>
    <w:rsid w:val="00481516"/>
    <w:rsid w:val="00497F97"/>
    <w:rsid w:val="004D1A8F"/>
    <w:rsid w:val="004D3155"/>
    <w:rsid w:val="004D7969"/>
    <w:rsid w:val="004F0E8F"/>
    <w:rsid w:val="00511FD6"/>
    <w:rsid w:val="0052476E"/>
    <w:rsid w:val="00540E9B"/>
    <w:rsid w:val="00565B57"/>
    <w:rsid w:val="005B589C"/>
    <w:rsid w:val="005F0E17"/>
    <w:rsid w:val="005F3740"/>
    <w:rsid w:val="006060E2"/>
    <w:rsid w:val="00655574"/>
    <w:rsid w:val="00683455"/>
    <w:rsid w:val="006A29DD"/>
    <w:rsid w:val="006B550B"/>
    <w:rsid w:val="006C0864"/>
    <w:rsid w:val="0071308F"/>
    <w:rsid w:val="00715AFF"/>
    <w:rsid w:val="007236B1"/>
    <w:rsid w:val="00772CC8"/>
    <w:rsid w:val="00784065"/>
    <w:rsid w:val="007A1728"/>
    <w:rsid w:val="007B721C"/>
    <w:rsid w:val="007C3EAA"/>
    <w:rsid w:val="007F63C8"/>
    <w:rsid w:val="00806534"/>
    <w:rsid w:val="008405DD"/>
    <w:rsid w:val="00850031"/>
    <w:rsid w:val="00863FE0"/>
    <w:rsid w:val="0087096E"/>
    <w:rsid w:val="008874C9"/>
    <w:rsid w:val="008928AC"/>
    <w:rsid w:val="008961EC"/>
    <w:rsid w:val="008B7224"/>
    <w:rsid w:val="008F5874"/>
    <w:rsid w:val="00900029"/>
    <w:rsid w:val="00975EED"/>
    <w:rsid w:val="00995342"/>
    <w:rsid w:val="009A7A18"/>
    <w:rsid w:val="009D4CBB"/>
    <w:rsid w:val="00A22DCF"/>
    <w:rsid w:val="00A34AC8"/>
    <w:rsid w:val="00A46920"/>
    <w:rsid w:val="00A4743F"/>
    <w:rsid w:val="00A720BE"/>
    <w:rsid w:val="00A90F3E"/>
    <w:rsid w:val="00AB5717"/>
    <w:rsid w:val="00B148DA"/>
    <w:rsid w:val="00B3475B"/>
    <w:rsid w:val="00B749F1"/>
    <w:rsid w:val="00B8653E"/>
    <w:rsid w:val="00BA31EA"/>
    <w:rsid w:val="00BB081F"/>
    <w:rsid w:val="00BC3D3D"/>
    <w:rsid w:val="00BC4F94"/>
    <w:rsid w:val="00BD2722"/>
    <w:rsid w:val="00BD4B0C"/>
    <w:rsid w:val="00C0040A"/>
    <w:rsid w:val="00C43F8B"/>
    <w:rsid w:val="00C51835"/>
    <w:rsid w:val="00C533A8"/>
    <w:rsid w:val="00C64343"/>
    <w:rsid w:val="00C67E82"/>
    <w:rsid w:val="00C97A42"/>
    <w:rsid w:val="00CA13F2"/>
    <w:rsid w:val="00CA3C17"/>
    <w:rsid w:val="00CD4943"/>
    <w:rsid w:val="00CE20FE"/>
    <w:rsid w:val="00D1451D"/>
    <w:rsid w:val="00D20A8E"/>
    <w:rsid w:val="00D31C26"/>
    <w:rsid w:val="00D45447"/>
    <w:rsid w:val="00D50E2D"/>
    <w:rsid w:val="00D55687"/>
    <w:rsid w:val="00D560E9"/>
    <w:rsid w:val="00D571F5"/>
    <w:rsid w:val="00DA4BB5"/>
    <w:rsid w:val="00DA5858"/>
    <w:rsid w:val="00DD513D"/>
    <w:rsid w:val="00E203CB"/>
    <w:rsid w:val="00E7350F"/>
    <w:rsid w:val="00E746F9"/>
    <w:rsid w:val="00E84A84"/>
    <w:rsid w:val="00E86C44"/>
    <w:rsid w:val="00EB0BB5"/>
    <w:rsid w:val="00EF5A92"/>
    <w:rsid w:val="00F7666C"/>
    <w:rsid w:val="00F86E46"/>
    <w:rsid w:val="00FA5D39"/>
    <w:rsid w:val="00FE176B"/>
    <w:rsid w:val="00FE2E69"/>
    <w:rsid w:val="00FF7AC3"/>
    <w:rsid w:val="043C64AC"/>
    <w:rsid w:val="07067BA1"/>
    <w:rsid w:val="0B0A222E"/>
    <w:rsid w:val="0D166890"/>
    <w:rsid w:val="16B754E5"/>
    <w:rsid w:val="2B9D7C66"/>
    <w:rsid w:val="2CF02711"/>
    <w:rsid w:val="36D07E7A"/>
    <w:rsid w:val="39037AD3"/>
    <w:rsid w:val="3BAC0516"/>
    <w:rsid w:val="408B3218"/>
    <w:rsid w:val="41C40824"/>
    <w:rsid w:val="43C07BD5"/>
    <w:rsid w:val="44E016F1"/>
    <w:rsid w:val="49E519B0"/>
    <w:rsid w:val="58070375"/>
    <w:rsid w:val="58432133"/>
    <w:rsid w:val="5B187AEB"/>
    <w:rsid w:val="5ED41EB4"/>
    <w:rsid w:val="613968CA"/>
    <w:rsid w:val="65293287"/>
    <w:rsid w:val="67F01613"/>
    <w:rsid w:val="6E7F334B"/>
    <w:rsid w:val="70CA6517"/>
    <w:rsid w:val="74596761"/>
    <w:rsid w:val="75257EF4"/>
    <w:rsid w:val="7EA2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页脚 Char"/>
    <w:basedOn w:val="8"/>
    <w:link w:val="4"/>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rPr>
      <w:rFonts w:ascii="Calibri" w:hAnsi="Calibri"/>
      <w:szCs w:val="22"/>
    </w:rPr>
  </w:style>
  <w:style w:type="character" w:customStyle="1" w:styleId="11">
    <w:name w:val="标题 2 Char"/>
    <w:basedOn w:val="8"/>
    <w:link w:val="3"/>
    <w:qFormat/>
    <w:uiPriority w:val="9"/>
    <w:rPr>
      <w:rFonts w:ascii="Cambria" w:hAnsi="Cambria" w:eastAsia="宋体" w:cs="Times New Roman"/>
      <w:b/>
      <w:bCs/>
      <w:sz w:val="32"/>
      <w:szCs w:val="32"/>
    </w:rPr>
  </w:style>
  <w:style w:type="character" w:customStyle="1" w:styleId="12">
    <w:name w:val="标题 2 字符"/>
    <w:basedOn w:val="8"/>
    <w:qFormat/>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2041</Words>
  <Characters>11638</Characters>
  <Lines>96</Lines>
  <Paragraphs>27</Paragraphs>
  <TotalTime>0</TotalTime>
  <ScaleCrop>false</ScaleCrop>
  <LinksUpToDate>false</LinksUpToDate>
  <CharactersWithSpaces>13652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2019-11-24T16:36:00Z</dcterms:created>
  <dc:creator>ASUS</dc:creator>
  <cp:lastModifiedBy>阳&amp;霖</cp:lastModifiedBy>
  <dcterms:modified xsi:type="dcterms:W3CDTF">2019-11-27T00:58:53Z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